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jpg" ContentType="image/jpeg"/>
  <Override PartName="/word/media/rId48.jpg" ContentType="image/jpeg"/>
  <Override PartName="/word/media/rId64.jpg" ContentType="image/jpeg"/>
  <Override PartName="/word/media/rId44.jpg" ContentType="image/jpeg"/>
  <Override PartName="/word/media/rId40.jpg" ContentType="image/jpeg"/>
  <Override PartName="/word/media/rId52.jpg" ContentType="image/jpeg"/>
  <Override PartName="/word/media/rId56.jpg" ContentType="image/jpeg"/>
  <Override PartName="/word/media/rId6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Adaptive Introgression Shapes the Pan-genome of Populus Hybrid Zones</w:t>
      </w:r>
    </w:p>
    <w:p>
      <w:pPr>
        <w:pStyle w:val="Author"/>
      </w:pPr>
      <w:r>
        <w:t xml:space="preserve">Baxter Worthing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Poplar trees…</w:t>
      </w:r>
    </w:p>
    <w:bookmarkStart w:id="20" w:name="introduction"/>
    <w:p>
      <w:pPr>
        <w:pStyle w:val="Heading2"/>
      </w:pPr>
      <w:r>
        <w:t xml:space="preserve">0.1 Introduction</w:t>
      </w:r>
    </w:p>
    <w:p>
      <w:pPr>
        <w:pStyle w:val="FirstParagraph"/>
      </w:pPr>
      <w:r>
        <w:t xml:space="preserve">Hybridization between distinct species can lead to the exchange of</w:t>
      </w:r>
      <w:r>
        <w:t xml:space="preserve"> </w:t>
      </w:r>
      <w:r>
        <w:t xml:space="preserve">genetic variation across species boundaries, a process known as</w:t>
      </w:r>
      <w:r>
        <w:t xml:space="preserve"> </w:t>
      </w:r>
      <w:r>
        <w:t xml:space="preserve">introgression. Introgression is common among inter-fertile species of</w:t>
      </w:r>
      <w:r>
        <w:t xml:space="preserve"> </w:t>
      </w:r>
      <w:r>
        <w:t xml:space="preserve">forest trees, and in many cases, is hypothesized to be an adaptive</w:t>
      </w:r>
      <w:r>
        <w:t xml:space="preserve"> </w:t>
      </w:r>
      <w:r>
        <w:t xml:space="preserve">process, through which genetic variation related to locally-adaptive</w:t>
      </w:r>
      <w:r>
        <w:t xml:space="preserve"> </w:t>
      </w:r>
      <w:r>
        <w:t xml:space="preserve">phenotypes is passed from one species to the other</w:t>
      </w:r>
      <w:r>
        <w:t xml:space="preserve"> </w:t>
      </w:r>
      <w:r>
        <w:t xml:space="preserve">(Suarez-Gonzalez, Lexer, and Cronk 2018; Leroy et al. 2020; Rendón-Anaya et al. 2021; Hamilton and Miller 2016)</w:t>
      </w:r>
      <w:r>
        <w:t xml:space="preserve"> </w:t>
      </w:r>
      <w:r>
        <w:t xml:space="preserve">Support</w:t>
      </w:r>
      <w:r>
        <w:t xml:space="preserve"> </w:t>
      </w:r>
      <w:r>
        <w:t xml:space="preserve">for this hypothesis requires a clearer understanding of the nature of</w:t>
      </w:r>
      <w:r>
        <w:t xml:space="preserve"> </w:t>
      </w:r>
      <w:r>
        <w:t xml:space="preserve">genetic variation that is exchanged between species, and the degree to</w:t>
      </w:r>
      <w:r>
        <w:t xml:space="preserve"> </w:t>
      </w:r>
      <w:r>
        <w:t xml:space="preserve">which this variation is involved in adaptive processes in natural</w:t>
      </w:r>
      <w:r>
        <w:t xml:space="preserve"> </w:t>
      </w:r>
      <w:r>
        <w:t xml:space="preserve">populations. Characterization of the genetic variation involved in</w:t>
      </w:r>
      <w:r>
        <w:t xml:space="preserve"> </w:t>
      </w:r>
      <w:r>
        <w:t xml:space="preserve">adaptive introgression would shed light on the evolutionary forces that</w:t>
      </w:r>
      <w:r>
        <w:t xml:space="preserve"> </w:t>
      </w:r>
      <w:r>
        <w:t xml:space="preserve">influence the content of admixed genomes and help reveal the loci that</w:t>
      </w:r>
      <w:r>
        <w:t xml:space="preserve"> </w:t>
      </w:r>
      <w:r>
        <w:t xml:space="preserve">underlie both the adaptive traits and genetic incompatibilities that</w:t>
      </w:r>
      <w:r>
        <w:t xml:space="preserve"> </w:t>
      </w:r>
      <w:r>
        <w:t xml:space="preserve">shape species boundaries.</w:t>
      </w:r>
    </w:p>
    <w:p>
      <w:pPr>
        <w:pStyle w:val="BodyText"/>
      </w:pPr>
      <w:r>
        <w:t xml:space="preserve">The majority of past research on adaptive introgression has focused on</w:t>
      </w:r>
      <w:r>
        <w:t xml:space="preserve"> </w:t>
      </w:r>
      <w:r>
        <w:t xml:space="preserve">single nucleotide polymorphisms (SNPs) and small indels, but structural</w:t>
      </w:r>
      <w:r>
        <w:t xml:space="preserve"> </w:t>
      </w:r>
      <w:r>
        <w:t xml:space="preserve">variation (SV) is also likely to play a role in adaptive introgression.</w:t>
      </w:r>
      <w:r>
        <w:t xml:space="preserve"> </w:t>
      </w:r>
      <w:r>
        <w:t xml:space="preserve">SV, which includes deletions, duplications, inversions, and</w:t>
      </w:r>
      <w:r>
        <w:t xml:space="preserve"> </w:t>
      </w:r>
      <w:r>
        <w:t xml:space="preserve">translocations of DNA segments, can have a significant impact on gene</w:t>
      </w:r>
      <w:r>
        <w:t xml:space="preserve"> </w:t>
      </w:r>
      <w:r>
        <w:t xml:space="preserve">expression, gene function, and ultimately, adaptive phenotypic</w:t>
      </w:r>
      <w:r>
        <w:t xml:space="preserve"> </w:t>
      </w:r>
      <w:r>
        <w:t xml:space="preserve">variation. For this reason, SV is known to be a major source of genetic</w:t>
      </w:r>
      <w:r>
        <w:t xml:space="preserve"> </w:t>
      </w:r>
      <w:r>
        <w:t xml:space="preserve">variation in many species, and has been implicated in the evolution of</w:t>
      </w:r>
      <w:r>
        <w:t xml:space="preserve"> </w:t>
      </w:r>
      <w:r>
        <w:t xml:space="preserve">adaptive traits in a variety of taxa</w:t>
      </w:r>
      <w:r>
        <w:t xml:space="preserve"> </w:t>
      </w:r>
      <w:r>
        <w:t xml:space="preserve">(Hämälä et al. 2021; Songsomboon et al. 2021; Y. Li et al. 2024; Z. Li et al. 2023)</w:t>
      </w:r>
      <w:r>
        <w:t xml:space="preserve">. As the notion that SV</w:t>
      </w:r>
      <w:r>
        <w:t xml:space="preserve"> </w:t>
      </w:r>
      <w:r>
        <w:t xml:space="preserve">is involved in adaptive evolution gains support, it is only logical to</w:t>
      </w:r>
      <w:r>
        <w:t xml:space="preserve"> </w:t>
      </w:r>
      <w:r>
        <w:t xml:space="preserve">ask is how SV is involved in adaptive introgression. Recent research</w:t>
      </w:r>
      <w:r>
        <w:t xml:space="preserve"> </w:t>
      </w:r>
      <w:r>
        <w:t xml:space="preserve">suggests that SV may play an important role in both adaptive</w:t>
      </w:r>
      <w:r>
        <w:t xml:space="preserve"> </w:t>
      </w:r>
      <w:r>
        <w:t xml:space="preserve">introgression</w:t>
      </w:r>
      <w:r>
        <w:t xml:space="preserve"> </w:t>
      </w:r>
      <w:r>
        <w:t xml:space="preserve">(Almarri et al. 2020; Xia et al. 2023; X. Zhang et al. 2021)</w:t>
      </w:r>
      <w:r>
        <w:t xml:space="preserve"> </w:t>
      </w:r>
      <w:r>
        <w:t xml:space="preserve">and in the maintenance of species boundaries</w:t>
      </w:r>
      <w:r>
        <w:t xml:space="preserve"> </w:t>
      </w:r>
      <w:r>
        <w:t xml:space="preserve">(L. Zhang et al. 2021)</w:t>
      </w:r>
      <w:r>
        <w:t xml:space="preserve"> </w:t>
      </w:r>
      <w:r>
        <w:t xml:space="preserve">in natural systems. Introgression between crop</w:t>
      </w:r>
      <w:r>
        <w:t xml:space="preserve"> </w:t>
      </w:r>
      <w:r>
        <w:t xml:space="preserve">varietals and wild relatives has been a key factor in the breeding</w:t>
      </w:r>
      <w:r>
        <w:t xml:space="preserve"> </w:t>
      </w:r>
      <w:r>
        <w:t xml:space="preserve">history of many crops, and recent work shows that SV are often the</w:t>
      </w:r>
      <w:r>
        <w:t xml:space="preserve"> </w:t>
      </w:r>
      <w:r>
        <w:t xml:space="preserve">casual variants involved in this process [</w:t>
      </w:r>
      <w:r>
        <w:t xml:space="preserve">Gao et al. (2019)</w:t>
      </w:r>
      <w:r>
        <w:t xml:space="preserve">;</w:t>
      </w:r>
      <w:r>
        <w:t xml:space="preserve"> </w:t>
      </w:r>
      <w:r>
        <w:t xml:space="preserve">Kou et al. (2020)</w:t>
      </w:r>
      <w:r>
        <w:t xml:space="preserve">;</w:t>
      </w:r>
      <w:r>
        <w:t xml:space="preserve"> </w:t>
      </w:r>
      <w:r>
        <w:t xml:space="preserve">Cheng et al. (2019)</w:t>
      </w:r>
      <w:r>
        <w:t xml:space="preserve">; Sun et al., 2020; Qiao et al.,</w:t>
      </w:r>
      <w:r>
        <w:t xml:space="preserve"> </w:t>
      </w:r>
      <w:r>
        <w:t xml:space="preserve">2021; Zanini et al., 2021 ]. While the significant effect of</w:t>
      </w:r>
      <w:r>
        <w:t xml:space="preserve"> </w:t>
      </w:r>
      <w:r>
        <w:t xml:space="preserve">introgressed SV on economically important crop traits is well</w:t>
      </w:r>
      <w:r>
        <w:t xml:space="preserve"> </w:t>
      </w:r>
      <w:r>
        <w:t xml:space="preserve">recognized, far less in known about the relationship between</w:t>
      </w:r>
      <w:r>
        <w:t xml:space="preserve"> </w:t>
      </w:r>
      <w:r>
        <w:t xml:space="preserve">introgression, SV and ecologically important traits in natural hybrid</w:t>
      </w:r>
      <w:r>
        <w:t xml:space="preserve"> </w:t>
      </w:r>
      <w:r>
        <w:t xml:space="preserve">zones.</w:t>
      </w:r>
    </w:p>
    <w:p>
      <w:pPr>
        <w:pStyle w:val="BodyText"/>
      </w:pPr>
      <w:r>
        <w:t xml:space="preserve">The study of SV in natural hybrid zones is challenging, as it requires</w:t>
      </w:r>
      <w:r>
        <w:t xml:space="preserve"> </w:t>
      </w:r>
      <w:r>
        <w:t xml:space="preserve">the ability to accurately genotype SV in a large number of admixed</w:t>
      </w:r>
      <w:r>
        <w:t xml:space="preserve"> </w:t>
      </w:r>
      <w:r>
        <w:t xml:space="preserve">individuals. The majority of past research on SV in natural populations</w:t>
      </w:r>
      <w:r>
        <w:t xml:space="preserve"> </w:t>
      </w:r>
      <w:r>
        <w:t xml:space="preserve">has relied on reference genomes that represent only one species, which</w:t>
      </w:r>
      <w:r>
        <w:t xml:space="preserve"> </w:t>
      </w:r>
      <w:r>
        <w:t xml:space="preserve">can lead to reference bias. Reference bias occurs when the genomes of re</w:t>
      </w:r>
      <w:r>
        <w:t xml:space="preserve"> </w:t>
      </w:r>
      <w:r>
        <w:t xml:space="preserve">sequenced individuals contain regions that are highly diverged from the</w:t>
      </w:r>
      <w:r>
        <w:t xml:space="preserve"> </w:t>
      </w:r>
      <w:r>
        <w:t xml:space="preserve">reference genome , causing reads originating from these regions to align</w:t>
      </w:r>
      <w:r>
        <w:t xml:space="preserve"> </w:t>
      </w:r>
      <w:r>
        <w:t xml:space="preserve">incorrectly, or not align at all to the reference genome. This can lead</w:t>
      </w:r>
      <w:r>
        <w:t xml:space="preserve"> </w:t>
      </w:r>
      <w:r>
        <w:t xml:space="preserve">to misinterpretation or under-representation of variation resulting from</w:t>
      </w:r>
      <w:r>
        <w:t xml:space="preserve"> </w:t>
      </w:r>
      <w:r>
        <w:t xml:space="preserve">admixture</w:t>
      </w:r>
      <w:r>
        <w:t xml:space="preserve"> </w:t>
      </w:r>
      <w:r>
        <w:t xml:space="preserve">(Secomandi et al. 2025)</w:t>
      </w:r>
      <w:r>
        <w:t xml:space="preserve">. Reference bias is particularly</w:t>
      </w:r>
      <w:r>
        <w:t xml:space="preserve"> </w:t>
      </w:r>
      <w:r>
        <w:t xml:space="preserve">problematic when studying SV, as large insertions and deletions may be</w:t>
      </w:r>
      <w:r>
        <w:t xml:space="preserve"> </w:t>
      </w:r>
      <w:r>
        <w:t xml:space="preserve">longer than sequencing reads, making variation in their presence and</w:t>
      </w:r>
      <w:r>
        <w:t xml:space="preserve"> </w:t>
      </w:r>
      <w:r>
        <w:t xml:space="preserve">absence (PAV) challenging to detect. Furthermore, SV is often</w:t>
      </w:r>
      <w:r>
        <w:t xml:space="preserve"> </w:t>
      </w:r>
      <w:r>
        <w:t xml:space="preserve">species-specific and, because admixed individuals represent a mosaic of</w:t>
      </w:r>
      <w:r>
        <w:t xml:space="preserve"> </w:t>
      </w:r>
      <w:r>
        <w:t xml:space="preserve">genetic variation from two or more species, the presence of reference</w:t>
      </w:r>
      <w:r>
        <w:t xml:space="preserve"> </w:t>
      </w:r>
      <w:r>
        <w:t xml:space="preserve">bias can obscure the effect that the presence (or absence) of genetic</w:t>
      </w:r>
      <w:r>
        <w:t xml:space="preserve"> </w:t>
      </w:r>
      <w:r>
        <w:t xml:space="preserve">variation has on traits, and can hinder the identification of SV that is</w:t>
      </w:r>
      <w:r>
        <w:t xml:space="preserve"> </w:t>
      </w:r>
      <w:r>
        <w:t xml:space="preserve">involved in introgression.</w:t>
      </w:r>
    </w:p>
    <w:p>
      <w:pPr>
        <w:pStyle w:val="BodyText"/>
      </w:pPr>
      <w:r>
        <w:t xml:space="preserve">Recently, an increasing number of studies have relied on pan-genome</w:t>
      </w:r>
      <w:r>
        <w:t xml:space="preserve"> </w:t>
      </w:r>
      <w:r>
        <w:t xml:space="preserve">assembly to overcome reference bias and to accurately genotype SV</w:t>
      </w:r>
      <w:r>
        <w:t xml:space="preserve"> </w:t>
      </w:r>
      <w:r>
        <w:t xml:space="preserve">(Secomandi et al. 2025; Gao et al. 2019; Z. Li et al. 2023; Y. Li et al. 2024; Songsomboon et al. 2021)</w:t>
      </w:r>
      <w:r>
        <w:t xml:space="preserve">. A pan-genome assembly is a non-redundant</w:t>
      </w:r>
      <w:r>
        <w:t xml:space="preserve"> </w:t>
      </w:r>
      <w:r>
        <w:t xml:space="preserve">collection of sequences originating from multiple individuals. This</w:t>
      </w:r>
      <w:r>
        <w:t xml:space="preserve"> </w:t>
      </w:r>
      <w:r>
        <w:t xml:space="preserve">genetic information can be represented as</w:t>
      </w:r>
      <w:r>
        <w:t xml:space="preserve"> </w:t>
      </w:r>
      <w:r>
        <w:t xml:space="preserve">“nodes”</w:t>
      </w:r>
      <w:r>
        <w:t xml:space="preserve"> </w:t>
      </w:r>
      <w:r>
        <w:t xml:space="preserve">in a pan-genome graph,</w:t>
      </w:r>
      <w:r>
        <w:t xml:space="preserve"> </w:t>
      </w:r>
      <w:r>
        <w:t xml:space="preserve">while the linear sequence of each input 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a pan-genome graph, each node describes</w:t>
      </w:r>
      <w:r>
        <w:t xml:space="preserve"> </w:t>
      </w:r>
      <w:r>
        <w:t xml:space="preserve">the alignment between at least two sequences, given an expected level of</w:t>
      </w:r>
      <w:r>
        <w:t xml:space="preserve"> </w:t>
      </w:r>
      <w:r>
        <w:t xml:space="preserve">sequence divergence. Pan-genome graphs can capture complex variation</w:t>
      </w:r>
      <w:r>
        <w:t xml:space="preserve"> </w:t>
      </w:r>
      <w:r>
        <w:t xml:space="preserve">that is not present in a single reference genome, and can provide a more</w:t>
      </w:r>
      <w:r>
        <w:t xml:space="preserve"> </w:t>
      </w:r>
      <w:r>
        <w:t xml:space="preserve">accurate representation of the genetic variation present in admixed</w:t>
      </w:r>
      <w:r>
        <w:t xml:space="preserve"> </w:t>
      </w:r>
      <w:r>
        <w:t xml:space="preserve">individuals. Pan-genome assembly has been used to identify and genotype</w:t>
      </w:r>
      <w:r>
        <w:t xml:space="preserve"> </w:t>
      </w:r>
      <w:r>
        <w:t xml:space="preserve">SV related to ecologically and economically important traits in a</w:t>
      </w:r>
      <w:r>
        <w:t xml:space="preserve"> </w:t>
      </w:r>
      <w:r>
        <w:t xml:space="preserve">variety of taxa, and has been shown to be an effective tool for studying</w:t>
      </w:r>
      <w:r>
        <w:t xml:space="preserve"> </w:t>
      </w:r>
      <w:r>
        <w:t xml:space="preserve">the adaptive evolution in natural populations</w:t>
      </w:r>
      <w:r>
        <w:t xml:space="preserve"> </w:t>
      </w:r>
      <w:r>
        <w:t xml:space="preserve">(Secomandi et al. 2025; Fang and Edwards 2024)</w:t>
      </w:r>
      <w:r>
        <w:t xml:space="preserve">. However, to our knowledge, no studies have used</w:t>
      </w:r>
      <w:r>
        <w:t xml:space="preserve"> </w:t>
      </w:r>
      <w:r>
        <w:t xml:space="preserve">pan-genome assembly to examine introgression in the context of forest</w:t>
      </w:r>
      <w:r>
        <w:t xml:space="preserve"> </w:t>
      </w:r>
      <w:r>
        <w:t xml:space="preserve">tree hybrid zones, which are often dynamic and geographically broad.</w:t>
      </w:r>
      <w:r>
        <w:t xml:space="preserve"> </w:t>
      </w:r>
      <w:r>
        <w:t xml:space="preserve">Pan-genome assembly could help overcome the challenges of studying SV in</w:t>
      </w:r>
      <w:r>
        <w:t xml:space="preserve"> </w:t>
      </w:r>
      <w:r>
        <w:t xml:space="preserve">admixed tree genotypes, and could provide new insights into the role of</w:t>
      </w:r>
      <w:r>
        <w:t xml:space="preserve"> </w:t>
      </w:r>
      <w:r>
        <w:t xml:space="preserve">SV in adaptive introgression in natural populations of forest trees.</w:t>
      </w:r>
    </w:p>
    <w:p>
      <w:pPr>
        <w:pStyle w:val="BodyText"/>
      </w:pP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 trichocarpa</w:t>
      </w:r>
      <w:r>
        <w:t xml:space="preserve"> </w:t>
      </w:r>
      <w:r>
        <w:t xml:space="preserve">are two species of</w:t>
      </w:r>
      <w:r>
        <w:t xml:space="preserve"> </w:t>
      </w:r>
      <w:r>
        <w:t xml:space="preserve">forest tree that readily interbreed in nature, and early and advanced</w:t>
      </w:r>
      <w:r>
        <w:t xml:space="preserve"> </w:t>
      </w:r>
      <w:r>
        <w:t xml:space="preserve">generation hybrids have been described in hybrid zones located where</w:t>
      </w:r>
      <w:r>
        <w:t xml:space="preserve"> </w:t>
      </w:r>
      <w:r>
        <w:t xml:space="preserve">their ranges overlap (Geraldes et al., 2014; Suarez-Gonzalez et</w:t>
      </w:r>
      <w:r>
        <w:t xml:space="preserve"> </w:t>
      </w:r>
      <w:r>
        <w:t xml:space="preserve">al.,2016; 2018; Chhatre et al. 2019). It has previously been</w:t>
      </w:r>
      <w:r>
        <w:t xml:space="preserve"> </w:t>
      </w:r>
      <w:r>
        <w:t xml:space="preserve">hypothesized that hybridization between these two species contributes to</w:t>
      </w:r>
      <w:r>
        <w:t xml:space="preserve"> </w:t>
      </w:r>
      <w:r>
        <w:t xml:space="preserve">an adaptive process, through which genetic variation related to</w:t>
      </w:r>
      <w:r>
        <w:t xml:space="preserve"> </w:t>
      </w:r>
      <w:r>
        <w:t xml:space="preserve">locally-adaptive phenotypes is passed from one species to the other</w:t>
      </w:r>
      <w:r>
        <w:t xml:space="preserve"> </w:t>
      </w:r>
      <w:r>
        <w:t xml:space="preserve">through adaptive introgression (Suarez-Gonzalez et al., 2016;</w:t>
      </w:r>
      <w:r>
        <w:t xml:space="preserve"> </w:t>
      </w:r>
      <w:r>
        <w:t xml:space="preserve">Suarez-Gonzalez et al., 2018). However, studies on inter-specific</w:t>
      </w:r>
      <w:r>
        <w:t xml:space="preserve"> </w:t>
      </w:r>
      <w:r>
        <w:t xml:space="preserve">crosses in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have made it clear that introgression is often</w:t>
      </w:r>
      <w:r>
        <w:t xml:space="preserve"> </w:t>
      </w:r>
      <w:r>
        <w:t xml:space="preserve">biased toward particular regions of the genome, particular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species, or specific environments (Lexer et al., 2005; Thompson et al.,</w:t>
      </w:r>
      <w:r>
        <w:t xml:space="preserve"> </w:t>
      </w:r>
      <w:r>
        <w:t xml:space="preserve">2010; Meirmans et al., 2017). Therefore, the adaptiveness of</w:t>
      </w:r>
      <w:r>
        <w:t xml:space="preserve"> </w:t>
      </w:r>
      <w:r>
        <w:t xml:space="preserve">introgression between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dependent</w:t>
      </w:r>
      <w:r>
        <w:t xml:space="preserve"> </w:t>
      </w:r>
      <w:r>
        <w:t xml:space="preserve">on incompatibilities between the genomic variants involved as well as</w:t>
      </w:r>
      <w:r>
        <w:t xml:space="preserve"> </w:t>
      </w:r>
      <w:r>
        <w:t xml:space="preserve">environmental context, two factors which warrant further investigation.</w:t>
      </w:r>
      <w:r>
        <w:t xml:space="preserve"> </w:t>
      </w:r>
      <w:r>
        <w:t xml:space="preserve">The environmental context of adaptive introgression may be of particular</w:t>
      </w:r>
      <w:r>
        <w:t xml:space="preserve"> </w:t>
      </w:r>
      <w:r>
        <w:t xml:space="preserve">importance in the case of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.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is more commonly found in colder, continental climates</w:t>
      </w:r>
      <w:r>
        <w:t xml:space="preserve"> </w:t>
      </w:r>
      <w:r>
        <w:t xml:space="preserve">while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more often associated with milder, coastal</w:t>
      </w:r>
      <w:r>
        <w:t xml:space="preserve"> </w:t>
      </w:r>
      <w:r>
        <w:t xml:space="preserve">climates with longer growing seasons (Geraldes et al., 2014;</w:t>
      </w:r>
      <w:r>
        <w:t xml:space="preserve"> </w:t>
      </w:r>
      <w:r>
        <w:t xml:space="preserve">Suarez-Gonzalez et al., 2018). Considering hybrid zones between these</w:t>
      </w:r>
      <w:r>
        <w:t xml:space="preserve"> </w:t>
      </w:r>
      <w:r>
        <w:t xml:space="preserve">species often fall along the boundaries of their ranges, it seems</w:t>
      </w:r>
      <w:r>
        <w:t xml:space="preserve"> </w:t>
      </w:r>
      <w:r>
        <w:t xml:space="preserve">possible that adaptive introgression helps hybrid individuals persist in</w:t>
      </w:r>
      <w:r>
        <w:t xml:space="preserve"> </w:t>
      </w:r>
      <w:r>
        <w:t xml:space="preserve">environments that are outside of the optimum for either parental</w:t>
      </w:r>
      <w:r>
        <w:t xml:space="preserve"> </w:t>
      </w:r>
      <w:r>
        <w:t xml:space="preserve">species. Suarez-Gonzalez et al. (2018) showed support for this</w:t>
      </w:r>
      <w:r>
        <w:t xml:space="preserve"> </w:t>
      </w:r>
      <w:r>
        <w:t xml:space="preserve">hypothesis, finding that introgressed regions in the genomes of hybrids</w:t>
      </w:r>
      <w:r>
        <w:t xml:space="preserve"> </w:t>
      </w:r>
      <w:r>
        <w:t xml:space="preserve">from these zones harbored signs of selection and variation associated</w:t>
      </w:r>
      <w:r>
        <w:t xml:space="preserve"> </w:t>
      </w:r>
      <w:r>
        <w:t xml:space="preserve">with adaptive traits, including phenology. However, the specific</w:t>
      </w:r>
      <w:r>
        <w:t xml:space="preserve"> </w:t>
      </w:r>
      <w:r>
        <w:t xml:space="preserve">adaptive variants within these genomic regions, and the nature of their</w:t>
      </w:r>
      <w:r>
        <w:t xml:space="preserve"> </w:t>
      </w:r>
      <w:r>
        <w:t xml:space="preserve">effects on fitness remain, for the most part, undiscovered.</w:t>
      </w:r>
    </w:p>
    <w:p>
      <w:pPr>
        <w:pStyle w:val="BodyText"/>
      </w:pPr>
      <w:r>
        <w:t xml:space="preserve">Here, we take advantage of recent advances in pan-genome assembly</w:t>
      </w:r>
      <w:r>
        <w:t xml:space="preserve"> </w:t>
      </w:r>
      <w:r>
        <w:t xml:space="preserve">methods to produce a pan-genomic reference, comprising 24 diverse</w:t>
      </w:r>
      <w:r>
        <w:t xml:space="preserve"> </w:t>
      </w:r>
      <w:r>
        <w:t xml:space="preserve">haplotypes from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,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and their hybrids,</w:t>
      </w:r>
      <w:r>
        <w:t xml:space="preserve"> </w:t>
      </w:r>
      <w:r>
        <w:t xml:space="preserve">facilitating unbiased analysis of the sequence variation that is</w:t>
      </w:r>
      <w:r>
        <w:t xml:space="preserve"> </w:t>
      </w:r>
      <w:r>
        <w:t xml:space="preserve">segregating within natural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hybrid zones. Using this new pan</w:t>
      </w:r>
      <w:r>
        <w:t xml:space="preserve"> </w:t>
      </w:r>
      <w:r>
        <w:t xml:space="preserve">genomic assembly, we genotype structural variation across 575</w:t>
      </w:r>
      <w:r>
        <w:t xml:space="preserve"> </w:t>
      </w:r>
      <w:r>
        <w:t xml:space="preserve">individuals sampled from within and outside of natural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hybrid zones. We assess the true extent of genomic</w:t>
      </w:r>
      <w:r>
        <w:t xml:space="preserve"> </w:t>
      </w:r>
      <w:r>
        <w:t xml:space="preserve">diversity present in these species and their hybrids, identifying</w:t>
      </w:r>
      <w:r>
        <w:t xml:space="preserve"> </w:t>
      </w:r>
      <w:r>
        <w:t xml:space="preserve">genomic variation that is not present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genome. Furthermore, we describe structural variation involved both in</w:t>
      </w:r>
      <w:r>
        <w:t xml:space="preserve"> </w:t>
      </w:r>
      <w:r>
        <w:t xml:space="preserve">introgression and in genomic divergence between the two species. We shed</w:t>
      </w:r>
      <w:r>
        <w:t xml:space="preserve"> </w:t>
      </w:r>
      <w:r>
        <w:t xml:space="preserve">light on the role that introgression may play in shaping the pan-genome</w:t>
      </w:r>
      <w:r>
        <w:t xml:space="preserve"> </w:t>
      </w:r>
      <w:r>
        <w:t xml:space="preserve">of these species, and the degree to which tree genomes are porous to the</w:t>
      </w:r>
      <w:r>
        <w:t xml:space="preserve"> </w:t>
      </w:r>
      <w:r>
        <w:t xml:space="preserve">inter-specific exchange of structural variant alleles.</w:t>
      </w:r>
    </w:p>
    <w:bookmarkEnd w:id="20"/>
    <w:bookmarkStart w:id="26" w:name="methods"/>
    <w:p>
      <w:pPr>
        <w:pStyle w:val="Heading2"/>
      </w:pPr>
      <w:r>
        <w:t xml:space="preserve">0.2 Methods</w:t>
      </w:r>
    </w:p>
    <w:bookmarkStart w:id="21" w:name="Xd636a51e25d9934956dd199c92afa9012735cca"/>
    <w:p>
      <w:pPr>
        <w:pStyle w:val="Heading3"/>
      </w:pPr>
      <w:r>
        <w:t xml:space="preserve">0.2.1 Sample collection and whole genome sequencing</w:t>
      </w:r>
    </w:p>
    <w:p>
      <w:pPr>
        <w:pStyle w:val="FirstParagraph"/>
      </w:pPr>
      <w:r>
        <w:t xml:space="preserve">In January 2020, we collected dormant branch cuttings from 546 poplar</w:t>
      </w:r>
      <w:r>
        <w:t xml:space="preserve"> </w:t>
      </w:r>
      <w:r>
        <w:t xml:space="preserve">trees along 7 distinct latitudinal transects spanning natural contact</w:t>
      </w:r>
      <w:r>
        <w:t xml:space="preserve"> </w:t>
      </w:r>
      <w:r>
        <w:t xml:space="preserve">zones between Populus trichocarpa and Populus balsamifera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Short</w:t>
      </w:r>
      <w:r>
        <w:t xml:space="preserve"> </w:t>
      </w:r>
      <w:r>
        <w:t xml:space="preserve">read whole genome sequencing and subsequent bioinformatic analyses were</w:t>
      </w:r>
      <w:r>
        <w:t xml:space="preserve"> </w:t>
      </w:r>
      <w:r>
        <w:t xml:space="preserve">performed as described in Bolte et al. (2024). Briefly, Genomic DNA</w:t>
      </w:r>
      <w:r>
        <w:t xml:space="preserve"> </w:t>
      </w:r>
      <w:r>
        <w:t xml:space="preserve">libraries for all sampled individuals were constructed at the Duke</w:t>
      </w:r>
      <w:r>
        <w:t xml:space="preserve"> </w:t>
      </w:r>
      <w:r>
        <w:t xml:space="preserve">University Center for Genomic and Computational Biology and sequenced</w:t>
      </w:r>
      <w:r>
        <w:t xml:space="preserve"> </w:t>
      </w:r>
      <w:r>
        <w:t xml:space="preserve">using an Illumina NovaSeq 6000 instrument with an S4 flow cell in</w:t>
      </w:r>
      <w:r>
        <w:t xml:space="preserve"> </w:t>
      </w:r>
      <w:r>
        <w:t xml:space="preserve">2 × 150 bp format with 64 samples per lane (Illumina Inc., San Diego,</w:t>
      </w:r>
      <w:r>
        <w:t xml:space="preserve"> </w:t>
      </w:r>
      <w:r>
        <w:t xml:space="preserve">USA). De-indexing, QC, trimming adapter sequences, and sequence</w:t>
      </w:r>
      <w:r>
        <w:t xml:space="preserve"> </w:t>
      </w:r>
      <w:r>
        <w:t xml:space="preserve">pre-processing were completed by the sequencing facility. In addition to</w:t>
      </w:r>
      <w:r>
        <w:t xml:space="preserve"> </w:t>
      </w:r>
      <w:r>
        <w:t xml:space="preserve">short read sequencing, we also sequenced a subset of 40 sampled</w:t>
      </w:r>
      <w:r>
        <w:t xml:space="preserve"> </w:t>
      </w:r>
      <w:r>
        <w:t xml:space="preserve">individuals with PacBio HiFi long reads. We harvested tissue from</w:t>
      </w:r>
      <w:r>
        <w:t xml:space="preserve"> </w:t>
      </w:r>
      <w:r>
        <w:t xml:space="preserve">newly-expanded leaves grown under low light conditions to use for high</w:t>
      </w:r>
      <w:r>
        <w:t xml:space="preserve"> </w:t>
      </w:r>
      <w:r>
        <w:t xml:space="preserve">molecular weight DNA extraction. After confirming extraction quality</w:t>
      </w:r>
      <w:r>
        <w:t xml:space="preserve"> </w:t>
      </w:r>
      <w:r>
        <w:t xml:space="preserve">through gel electrophoresis and bioanalysis, we submitted HMW DNA to the</w:t>
      </w:r>
      <w:r>
        <w:t xml:space="preserve"> </w:t>
      </w:r>
      <w:r>
        <w:t xml:space="preserve">University of Maryland Center for Integrative Biosciences Genomics Core</w:t>
      </w:r>
      <w:r>
        <w:t xml:space="preserve"> </w:t>
      </w:r>
      <w:r>
        <w:t xml:space="preserve">Facility for library preparation and sequencing on the the PacBio Sequel</w:t>
      </w:r>
      <w:r>
        <w:t xml:space="preserve"> </w:t>
      </w:r>
      <w:r>
        <w:t xml:space="preserve">system with two samples per SMRT flow cell. We sequenced one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sample (939) for an additional run on a full SMRT cell. We</w:t>
      </w:r>
      <w:r>
        <w:t xml:space="preserve"> </w:t>
      </w:r>
      <w:r>
        <w:t xml:space="preserve">also sequenced this individual with Oxford Nanopore Technology (ONT)</w:t>
      </w:r>
      <w:r>
        <w:t xml:space="preserve"> </w:t>
      </w:r>
      <w:r>
        <w:t xml:space="preserve">platform. We submitted high molecular weight DNA to the Vermont</w:t>
      </w:r>
      <w:r>
        <w:t xml:space="preserve"> </w:t>
      </w:r>
      <w:r>
        <w:t xml:space="preserve">Integrative Genomics Resource Sequencing Center for library preparation</w:t>
      </w:r>
      <w:r>
        <w:t xml:space="preserve"> </w:t>
      </w:r>
      <w:r>
        <w:t xml:space="preserve">and sequencing on XXX flowcell (two runs) and XXX flowcell (one run)</w:t>
      </w:r>
    </w:p>
    <w:bookmarkEnd w:id="21"/>
    <w:bookmarkStart w:id="22" w:name="genome-assembly"/>
    <w:p>
      <w:pPr>
        <w:pStyle w:val="Heading3"/>
      </w:pPr>
      <w:r>
        <w:t xml:space="preserve">0.2.2 Genome assembly</w:t>
      </w:r>
    </w:p>
    <w:p>
      <w:pPr>
        <w:pStyle w:val="FirstParagraph"/>
      </w:pPr>
      <w:r>
        <w:t xml:space="preserve">Of the 40 individuals sequenced with HiFi long reads, we selected 16 for</w:t>
      </w:r>
      <w:r>
        <w:t xml:space="preserve"> </w:t>
      </w:r>
      <w:r>
        <w:t xml:space="preserve">whole genome assembly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These samples ranged from 20 to 35x</w:t>
      </w:r>
      <w:r>
        <w:t xml:space="preserve"> </w:t>
      </w:r>
      <w:r>
        <w:t xml:space="preserve">long read coverage. We performed de-novo genome assembly of the HiFi</w:t>
      </w:r>
      <w:r>
        <w:t xml:space="preserve"> </w:t>
      </w:r>
      <w:r>
        <w:t xml:space="preserve">reads for these samples with HiCanu</w:t>
      </w:r>
      <w:r>
        <w:t xml:space="preserve"> </w:t>
      </w:r>
      <w:r>
        <w:t xml:space="preserve">(Nurk et al. 2020)</w:t>
      </w:r>
      <w:r>
        <w:t xml:space="preserve">. We set HiCanu</w:t>
      </w:r>
      <w:r>
        <w:t xml:space="preserve"> </w:t>
      </w:r>
      <w:r>
        <w:t xml:space="preserve">parameters as follows: gSize=</w:t>
      </w:r>
      <w:r>
        <w:t xml:space="preserve">“400m”</w:t>
      </w:r>
      <w:r>
        <w:t xml:space="preserve">, lc=</w:t>
      </w:r>
      <w:r>
        <w:t xml:space="preserve">“5”</w:t>
      </w:r>
      <w:r>
        <w:t xml:space="preserve">, lcer=</w:t>
      </w:r>
      <w:r>
        <w:t xml:space="preserve">“0.055”</w:t>
      </w:r>
      <w:r>
        <w:t xml:space="preserve">, ovrlp=</w:t>
      </w:r>
      <w:r>
        <w:t xml:space="preserve">“350”</w:t>
      </w:r>
      <w:r>
        <w:t xml:space="preserve">,</w:t>
      </w:r>
      <w:r>
        <w:t xml:space="preserve"> </w:t>
      </w:r>
      <w:r>
        <w:t xml:space="preserve">mincov=</w:t>
      </w:r>
      <w:r>
        <w:t xml:space="preserve">“9”</w:t>
      </w:r>
      <w:r>
        <w:t xml:space="preserve">. To detect potential contaminants in the raw assemblies</w:t>
      </w:r>
      <w:r>
        <w:t xml:space="preserve"> </w:t>
      </w:r>
      <w:r>
        <w:t xml:space="preserve">produced by HiCanu, we used the program Kraken2 to compare the k-mer</w:t>
      </w:r>
      <w:r>
        <w:t xml:space="preserve"> </w:t>
      </w:r>
      <w:r>
        <w:t xml:space="preserve">content of assembled contigs to the</w:t>
      </w:r>
      <w:r>
        <w:t xml:space="preserve"> </w:t>
      </w:r>
      <w:r>
        <w:t xml:space="preserve">“PlusPFP”</w:t>
      </w:r>
      <w:r>
        <w:t xml:space="preserve"> </w:t>
      </w:r>
      <w:r>
        <w:t xml:space="preserve">database of known</w:t>
      </w:r>
      <w:r>
        <w:t xml:space="preserve"> </w:t>
      </w:r>
      <w:r>
        <w:t xml:space="preserve">taxon-specific k-mers representing archaea, bacteria, viral, human,</w:t>
      </w:r>
      <w:r>
        <w:t xml:space="preserve"> </w:t>
      </w:r>
      <w:r>
        <w:t xml:space="preserve">protozoa, fungi and plant taxa</w:t>
      </w:r>
      <w:r>
        <w:t xml:space="preserve"> </w:t>
      </w:r>
      <w:r>
        <w:t xml:space="preserve">(Lu et al. 2022)</w:t>
      </w:r>
      <w:r>
        <w:t xml:space="preserve">. We then used a custom bioawk</w:t>
      </w:r>
      <w:r>
        <w:t xml:space="preserve"> </w:t>
      </w:r>
      <w:r>
        <w:t xml:space="preserve">script to remove any assembled contig that Kraken2 assigned to a</w:t>
      </w:r>
      <w:r>
        <w:t xml:space="preserve"> </w:t>
      </w:r>
      <w:r>
        <w:t xml:space="preserve">taxonomic unit other than</w:t>
      </w:r>
      <w:r>
        <w:t xml:space="preserve"> </w:t>
      </w:r>
      <w:r>
        <w:rPr>
          <w:i/>
          <w:iCs/>
        </w:rPr>
        <w:t xml:space="preserve">Populus</w:t>
      </w:r>
      <w:r>
        <w:t xml:space="preserve">, leaving only unassigned or</w:t>
      </w:r>
      <w:r>
        <w:t xml:space="preserve"> </w:t>
      </w:r>
      <w:r>
        <w:rPr>
          <w:i/>
          <w:iCs/>
        </w:rPr>
        <w:t xml:space="preserve">Populus</w:t>
      </w:r>
      <w:r>
        <w:t xml:space="preserve">- assigned contigs in each assembly. We assessed the accuracy</w:t>
      </w:r>
      <w:r>
        <w:t xml:space="preserve"> </w:t>
      </w:r>
      <w:r>
        <w:t xml:space="preserve">and completeness of the decontaminated assemblies using QUAST and BUSCO</w:t>
      </w:r>
      <w:r>
        <w:t xml:space="preserve"> </w:t>
      </w:r>
      <w:r>
        <w:t xml:space="preserve">(Gurevich et al. 2013; Simão et al. 2015)</w:t>
      </w:r>
      <w:r>
        <w:t xml:space="preserve">. To further assess the contiguity</w:t>
      </w:r>
      <w:r>
        <w:t xml:space="preserve"> </w:t>
      </w:r>
      <w:r>
        <w:t xml:space="preserve">and quality of these assemblies, we used minimap2 and BWA to map the</w:t>
      </w:r>
      <w:r>
        <w:t xml:space="preserve"> </w:t>
      </w:r>
      <w:r>
        <w:t xml:space="preserve">original HiFi reads and additional Illumina short reads back to each</w:t>
      </w:r>
      <w:r>
        <w:t xml:space="preserve"> </w:t>
      </w:r>
      <w:r>
        <w:t xml:space="preserve">assembled haplotype</w:t>
      </w:r>
      <w:r>
        <w:t xml:space="preserve"> </w:t>
      </w:r>
      <w:r>
        <w:t xml:space="preserve">(H. Li 2018; H. Li and Durbin 2010)</w:t>
      </w:r>
      <w:r>
        <w:t xml:space="preserve">. We passed these</w:t>
      </w:r>
      <w:r>
        <w:t xml:space="preserve"> </w:t>
      </w:r>
      <w:r>
        <w:t xml:space="preserve">alignments to the program CRAQ</w:t>
      </w:r>
      <w:r>
        <w:t xml:space="preserve"> </w:t>
      </w:r>
      <w:r>
        <w:t xml:space="preserve">(K. Li et al. 2023)</w:t>
      </w:r>
      <w:r>
        <w:t xml:space="preserve">, which leverages</w:t>
      </w:r>
      <w:r>
        <w:t xml:space="preserve"> </w:t>
      </w:r>
      <w:r>
        <w:t xml:space="preserve">read depth along assembled contigs for quality assessment. We repeated</w:t>
      </w:r>
      <w:r>
        <w:t xml:space="preserve"> </w:t>
      </w:r>
      <w:r>
        <w:t xml:space="preserve">these quality assessment checks at each subsequent stage of genome</w:t>
      </w:r>
      <w:r>
        <w:t xml:space="preserve"> </w:t>
      </w:r>
      <w:r>
        <w:t xml:space="preserve">assembly. Phasing, or the separation and concatenation of contigs</w:t>
      </w:r>
      <w:r>
        <w:t xml:space="preserve"> </w:t>
      </w:r>
      <w:r>
        <w:t xml:space="preserve">belonging to the same parental haplotype is a key step in genome</w:t>
      </w:r>
      <w:r>
        <w:t xml:space="preserve"> </w:t>
      </w:r>
      <w:r>
        <w:t xml:space="preserve">assembly for hybrid individuals, as divergent haplotypes likely contain</w:t>
      </w:r>
      <w:r>
        <w:t xml:space="preserve"> </w:t>
      </w:r>
      <w:r>
        <w:t xml:space="preserve">important genetic information. We used mininmap2 to map reads back to</w:t>
      </w:r>
      <w:r>
        <w:t xml:space="preserve"> </w:t>
      </w:r>
      <w:r>
        <w:t xml:space="preserve">assembled contigs and to map assembled contigs to themselves. We then</w:t>
      </w:r>
      <w:r>
        <w:t xml:space="preserve"> </w:t>
      </w:r>
      <w:r>
        <w:t xml:space="preserve">used the purge haplotigs pipeline (Roach et al., 2018) to split diploid</w:t>
      </w:r>
      <w:r>
        <w:t xml:space="preserve"> </w:t>
      </w:r>
      <w:r>
        <w:t xml:space="preserve">assemblies into two assembled haploytpes for each individual. We used</w:t>
      </w:r>
      <w:r>
        <w:t xml:space="preserve"> </w:t>
      </w:r>
      <w:r>
        <w:t xml:space="preserve">RagTag (Alonge et al. 2022) to connect decontaminated, phased contigs</w:t>
      </w:r>
      <w:r>
        <w:t xml:space="preserve"> </w:t>
      </w:r>
      <w:r>
        <w:t xml:space="preserve">into pseudo-chromosomal scaffolds, guided by alignments of assembled</w:t>
      </w:r>
      <w:r>
        <w:t xml:space="preserve"> </w:t>
      </w:r>
      <w:r>
        <w:t xml:space="preserve">contigs to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visually</w:t>
      </w:r>
      <w:r>
        <w:t xml:space="preserve"> </w:t>
      </w:r>
      <w:r>
        <w:t xml:space="preserve">inspected minimap2 alignments of scaffolded assemblies to the reference</w:t>
      </w:r>
      <w:r>
        <w:t xml:space="preserve"> </w:t>
      </w:r>
      <w:r>
        <w:t xml:space="preserve">genome to identify potential scaffolding errors. We used RepeatMasker to</w:t>
      </w:r>
      <w:r>
        <w:t xml:space="preserve"> </w:t>
      </w:r>
      <w:r>
        <w:t xml:space="preserve">annotate and mask repetitive regions and annotated possible coding</w:t>
      </w:r>
      <w:r>
        <w:t xml:space="preserve"> </w:t>
      </w:r>
      <w:r>
        <w:t xml:space="preserve">domains and predicted protein sequences for each assembly with AUGUSTUS</w:t>
      </w:r>
      <w:r>
        <w:t xml:space="preserve"> </w:t>
      </w:r>
      <w:r>
        <w:t xml:space="preserve">(Smit et al., 2015; Hoff et al., 2019).</w:t>
      </w:r>
    </w:p>
    <w:bookmarkEnd w:id="22"/>
    <w:bookmarkStart w:id="23" w:name="pan-genome-assembly"/>
    <w:p>
      <w:pPr>
        <w:pStyle w:val="Heading3"/>
      </w:pPr>
      <w:r>
        <w:t xml:space="preserve">0.2.3 Pan-genome assembly</w:t>
      </w:r>
    </w:p>
    <w:p>
      <w:pPr>
        <w:pStyle w:val="FirstParagraph"/>
      </w:pPr>
      <w:r>
        <w:t xml:space="preserve">In a pan-genome graph, a non-redundant collection of all input sequences</w:t>
      </w:r>
      <w:r>
        <w:t xml:space="preserve"> </w:t>
      </w:r>
      <w:r>
        <w:t xml:space="preserve">is represented as</w:t>
      </w:r>
      <w:r>
        <w:t xml:space="preserve"> </w:t>
      </w:r>
      <w:r>
        <w:t xml:space="preserve">“nodes”</w:t>
      </w:r>
      <w:r>
        <w:t xml:space="preserve">, while the linear sequence of each input</w:t>
      </w:r>
      <w:r>
        <w:t xml:space="preserve"> </w:t>
      </w:r>
      <w:r>
        <w:t xml:space="preserve">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this</w:t>
      </w:r>
      <w:r>
        <w:t xml:space="preserve"> </w:t>
      </w:r>
      <w:r>
        <w:t xml:space="preserve">approach to graph construction, each node of the graph w describes the</w:t>
      </w:r>
      <w:r>
        <w:t xml:space="preserve"> </w:t>
      </w:r>
      <w:r>
        <w:t xml:space="preserve">alignment between at least two sequences, given an expected level of</w:t>
      </w:r>
      <w:r>
        <w:t xml:space="preserve"> </w:t>
      </w:r>
      <w:r>
        <w:t xml:space="preserve">sequence divergence. We constructed a pan-genome graph from an all-by</w:t>
      </w:r>
      <w:r>
        <w:t xml:space="preserve"> </w:t>
      </w:r>
      <w:r>
        <w:t xml:space="preserve">all alignment of the 24 assembled haplotypes. Any contigs shorter than</w:t>
      </w:r>
      <w:r>
        <w:t xml:space="preserve"> </w:t>
      </w:r>
      <w:r>
        <w:t xml:space="preserve">100kb were dropped before alignment. We used wfmash (Guarracino et al.,</w:t>
      </w:r>
      <w:r>
        <w:t xml:space="preserve"> </w:t>
      </w:r>
      <w:r>
        <w:t xml:space="preserve">2021) to perform all-by-all alignments between assembled chromosomes,</w:t>
      </w:r>
      <w:r>
        <w:t xml:space="preserve"> </w:t>
      </w:r>
      <w:r>
        <w:t xml:space="preserve">and seqwish (Garrison and Guarracino, 2022) to project alignments into a</w:t>
      </w:r>
      <w:r>
        <w:t xml:space="preserve"> </w:t>
      </w:r>
      <w:r>
        <w:t xml:space="preserve">graph pan-genome assembly. Pan-genome graphs constructed this way can</w:t>
      </w:r>
      <w:r>
        <w:t xml:space="preserve"> </w:t>
      </w:r>
      <w:r>
        <w:t xml:space="preserve">have highly complex topography, which may hinder downstream applications</w:t>
      </w:r>
      <w:r>
        <w:t xml:space="preserve"> </w:t>
      </w:r>
      <w:r>
        <w:t xml:space="preserve">such a sequence alignment. To combat this issue, we used the program</w:t>
      </w:r>
      <w:r>
        <w:t xml:space="preserve"> </w:t>
      </w:r>
      <w:r>
        <w:t xml:space="preserve">smoothXG to smooth complex variation in these graphs. We also assembled</w:t>
      </w:r>
      <w:r>
        <w:t xml:space="preserve"> </w:t>
      </w:r>
      <w:r>
        <w:t xml:space="preserve">a separate graph specifically for subsequent alignment-based analyses</w:t>
      </w:r>
      <w:r>
        <w:t xml:space="preserve"> </w:t>
      </w:r>
      <w:r>
        <w:t xml:space="preserve">using the minigraph-cactus pipeline</w:t>
      </w:r>
      <w:r>
        <w:t xml:space="preserve"> </w:t>
      </w:r>
      <w:r>
        <w:t xml:space="preserve">(Hickey et al. 2023)</w:t>
      </w:r>
      <w:r>
        <w:t xml:space="preserve">. We used the program</w:t>
      </w:r>
      <w:r>
        <w:t xml:space="preserve"> </w:t>
      </w:r>
      <w:r>
        <w:t xml:space="preserve">panacus to asses pan-genome growth and coverage statistics</w:t>
      </w:r>
      <w:r>
        <w:t xml:space="preserve"> </w:t>
      </w:r>
      <w:r>
        <w:t xml:space="preserve">(Parmigiani et al. 2024)</w:t>
      </w:r>
      <w:r>
        <w:t xml:space="preserve">. We used the program ODGI (Guarracino et al., 2022) to</w:t>
      </w:r>
      <w:r>
        <w:t xml:space="preserve"> </w:t>
      </w:r>
      <w:r>
        <w:t xml:space="preserve">perform basic graph quality control and to partition the core ( sequence</w:t>
      </w:r>
      <w:r>
        <w:t xml:space="preserve"> </w:t>
      </w:r>
      <w:r>
        <w:t xml:space="preserve">present in all individuals), shell (sequence variably present or absent</w:t>
      </w:r>
      <w:r>
        <w:t xml:space="preserve"> </w:t>
      </w:r>
      <w:r>
        <w:t xml:space="preserve">across individuals) and singleton sequence (present in only one</w:t>
      </w:r>
      <w:r>
        <w:t xml:space="preserve"> </w:t>
      </w:r>
      <w:r>
        <w:t xml:space="preserve">individuals) content for each graph and individual represented in the</w:t>
      </w:r>
      <w:r>
        <w:t xml:space="preserve"> </w:t>
      </w:r>
      <w:r>
        <w:t xml:space="preserve">graphs. We used the program vg</w:t>
      </w:r>
      <w:r>
        <w:t xml:space="preserve"> </w:t>
      </w:r>
      <w:r>
        <w:t xml:space="preserve">(Garrison et al. 2018)</w:t>
      </w:r>
      <w:r>
        <w:t xml:space="preserve"> </w:t>
      </w:r>
      <w:r>
        <w:t xml:space="preserve">to deconstruct each graph</w:t>
      </w:r>
      <w:r>
        <w:t xml:space="preserve"> </w:t>
      </w:r>
      <w:r>
        <w:t xml:space="preserve">assembly into a VCF containing the variation encapsulated in each graph.</w:t>
      </w:r>
      <w:r>
        <w:t xml:space="preserve"> </w:t>
      </w:r>
      <w:r>
        <w:t xml:space="preserve">We passed this deconstructed VCF file to vcfbub</w:t>
      </w:r>
      <w:r>
        <w:t xml:space="preserve"> </w:t>
      </w:r>
      <w:r>
        <w:t xml:space="preserve">(github.com/pangenome/vcfbub) to collapse nested SV sites into the</w:t>
      </w:r>
      <w:r>
        <w:t xml:space="preserve"> </w:t>
      </w:r>
      <w:r>
        <w:t xml:space="preserve">top-level variant for all SV less than 10kb in length. Using bcftools</w:t>
      </w:r>
      <w:r>
        <w:t xml:space="preserve"> </w:t>
      </w:r>
      <w:r>
        <w:t xml:space="preserve">(Danecek et al. 2021)</w:t>
      </w:r>
      <w:r>
        <w:t xml:space="preserve"> </w:t>
      </w:r>
      <w:r>
        <w:t xml:space="preserve">we split biallelic sites into multiallelic records for</w:t>
      </w:r>
      <w:r>
        <w:t xml:space="preserve"> </w:t>
      </w:r>
      <w:r>
        <w:t xml:space="preserve">this deconstructed vcf.</w:t>
      </w:r>
    </w:p>
    <w:bookmarkEnd w:id="23"/>
    <w:bookmarkStart w:id="24" w:name="genotyping-pan-genomic-variation"/>
    <w:p>
      <w:pPr>
        <w:pStyle w:val="Heading3"/>
      </w:pPr>
      <w:r>
        <w:t xml:space="preserve">0.2.4 Genotyping Pan-genomic Variation</w:t>
      </w:r>
    </w:p>
    <w:p>
      <w:pPr>
        <w:pStyle w:val="FirstParagraph"/>
      </w:pPr>
      <w:r>
        <w:t xml:space="preserve">We aligned sequencing reads from additional samples to pan-genome graph</w:t>
      </w:r>
      <w:r>
        <w:t xml:space="preserve"> </w:t>
      </w:r>
      <w:r>
        <w:t xml:space="preserve">assembly to genotype SNPs and SVs. We aligned PacBio HiFi reads for 40</w:t>
      </w:r>
      <w:r>
        <w:t xml:space="preserve"> </w:t>
      </w:r>
      <w:r>
        <w:t xml:space="preserve">total individuals (including the 16 used to construct the pan-genome</w:t>
      </w:r>
      <w:r>
        <w:t xml:space="preserve"> </w:t>
      </w:r>
      <w:r>
        <w:t xml:space="preserve">graph) to the minigraph-cactus graph using the program GraphAligner</w:t>
      </w:r>
      <w:r>
        <w:t xml:space="preserve"> </w:t>
      </w:r>
      <w:r>
        <w:t xml:space="preserve">(Rautiainen and Marschall 2020)</w:t>
      </w:r>
      <w:r>
        <w:t xml:space="preserve">. To characterize sequence variation across a broader</w:t>
      </w:r>
      <w:r>
        <w:t xml:space="preserve"> </w:t>
      </w:r>
      <w:r>
        <w:t xml:space="preserve">set of individuals, we also mapped Illumina short reads for 575</w:t>
      </w:r>
      <w:r>
        <w:t xml:space="preserve"> </w:t>
      </w:r>
      <w:r>
        <w:t xml:space="preserve">individuals to the pan-genome graph using the program giraffe</w:t>
      </w:r>
      <w:r>
        <w:t xml:space="preserve"> </w:t>
      </w:r>
      <w:r>
        <w:t xml:space="preserve">(Sirén et al. 2021)</w:t>
      </w:r>
      <w:r>
        <w:t xml:space="preserve">. We then called SV and SNPs from these alignments using the</w:t>
      </w:r>
      <w:r>
        <w:t xml:space="preserve"> </w:t>
      </w:r>
      <w:r>
        <w:t xml:space="preserve">vg call algorithm</w:t>
      </w:r>
      <w:r>
        <w:t xml:space="preserve"> </w:t>
      </w:r>
      <w:r>
        <w:t xml:space="preserve">(Garrison et al. 2018)</w:t>
      </w:r>
      <w:r>
        <w:t xml:space="preserve">. We used bcftools to split</w:t>
      </w:r>
      <w:r>
        <w:t xml:space="preserve"> </w:t>
      </w:r>
      <w:r>
        <w:t xml:space="preserve">multialleleic calls into separate records, normalize alleles against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and merge calls for all samples into one VCF</w:t>
      </w:r>
      <w:r>
        <w:t xml:space="preserve"> </w:t>
      </w:r>
      <w:r>
        <w:t xml:space="preserve">representing SV and SNP genotypes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coordinate space.</w:t>
      </w:r>
    </w:p>
    <w:bookmarkEnd w:id="24"/>
    <w:bookmarkStart w:id="25" w:name="Xd24ae3a90c5f0d39b4ec4490456cac280092f73"/>
    <w:p>
      <w:pPr>
        <w:pStyle w:val="Heading3"/>
      </w:pPr>
      <w:r>
        <w:t xml:space="preserve">0.2.5 Analysis of Structural Variation and Introgression</w:t>
      </w:r>
    </w:p>
    <w:p>
      <w:pPr>
        <w:pStyle w:val="FirstParagraph"/>
      </w:pPr>
      <w:r>
        <w:t xml:space="preserve">We used ADMIXTURE results from Bolte et al (2024) to assign each</w:t>
      </w:r>
      <w:r>
        <w:t xml:space="preserve"> </w:t>
      </w:r>
      <w:r>
        <w:t xml:space="preserve">individual an admixture proportion at K=2 and K=4. The genetic data used</w:t>
      </w:r>
      <w:r>
        <w:t xml:space="preserve"> </w:t>
      </w:r>
      <w:r>
        <w:t xml:space="preserve">for this ADMIXTURE analysis came from SNP calls from mappings of the</w:t>
      </w:r>
      <w:r>
        <w:t xml:space="preserve"> </w:t>
      </w:r>
      <w:r>
        <w:t xml:space="preserve">same illlumina reads used in this study, however they were mapped to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used this same genetic data set to</w:t>
      </w:r>
      <w:r>
        <w:t xml:space="preserve"> </w:t>
      </w:r>
      <w:r>
        <w:t xml:space="preserve">perform local ancestry inference (LAI) using LOTR</w:t>
      </w:r>
      <w:r>
        <w:t xml:space="preserve"> </w:t>
      </w:r>
      <w:r>
        <w:t xml:space="preserve">(Dias-Alves, Mairal, and Blum 2018)</w:t>
      </w:r>
      <w:r>
        <w:t xml:space="preserve">.</w:t>
      </w:r>
      <w:r>
        <w:t xml:space="preserve"> </w:t>
      </w:r>
      <w:r>
        <w:t xml:space="preserve">These ADMIXTURE and LAI data sets were used to visualize and analyze</w:t>
      </w:r>
      <w:r>
        <w:t xml:space="preserve"> </w:t>
      </w:r>
      <w:r>
        <w:t xml:space="preserve">patterns of local and global genomic ancestry throughout this study.</w:t>
      </w:r>
    </w:p>
    <w:p>
      <w:pPr>
        <w:pStyle w:val="BodyText"/>
      </w:pPr>
      <w:r>
        <w:t xml:space="preserve">We used ODGI to flatten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</w:t>
      </w:r>
      <w:r>
        <w:t xml:space="preserve"> </w:t>
      </w:r>
      <w:r>
        <w:t xml:space="preserve">path in the cactus graph. We then used a bed file representation of this</w:t>
      </w:r>
      <w:r>
        <w:t xml:space="preserve"> </w:t>
      </w:r>
      <w:r>
        <w:t xml:space="preserve">path and reference gene annotations to genotype PAV of reference</w:t>
      </w:r>
      <w:r>
        <w:t xml:space="preserve"> </w:t>
      </w:r>
      <w:r>
        <w:t xml:space="preserve">sequence across all paths of the cactus graph. We used R version 4.1.0</w:t>
      </w:r>
      <w:r>
        <w:t xml:space="preserve"> </w:t>
      </w:r>
      <w:r>
        <w:t xml:space="preserve">to identify core and shell gene sequences from this data and to perform</w:t>
      </w:r>
      <w:r>
        <w:t xml:space="preserve"> </w:t>
      </w:r>
      <w:r>
        <w:t xml:space="preserve">PCA on the PAV genotypes</w:t>
      </w:r>
      <w:r>
        <w:t xml:space="preserve"> </w:t>
      </w:r>
      <w:r>
        <w:t xml:space="preserve">(R Core Team 2024)</w:t>
      </w:r>
      <w:r>
        <w:t xml:space="preserve">. We also ran a similar PAV PCA with the</w:t>
      </w:r>
      <w:r>
        <w:t xml:space="preserve"> </w:t>
      </w:r>
      <w:r>
        <w:t xml:space="preserve">merged vcf representing all 575 sequenced samples in this study, using</w:t>
      </w:r>
      <w:r>
        <w:t xml:space="preserve"> </w:t>
      </w:r>
      <w:r>
        <w:t xml:space="preserve">plink2</w:t>
      </w:r>
      <w:r>
        <w:t xml:space="preserve"> </w:t>
      </w:r>
      <w:r>
        <w:t xml:space="preserve">(Chang et al. 2015)</w:t>
      </w:r>
      <w:r>
        <w:t xml:space="preserve">. We used the -–allele-weights flag to extract</w:t>
      </w:r>
      <w:r>
        <w:t xml:space="preserve"> </w:t>
      </w:r>
      <w:r>
        <w:t xml:space="preserve">the loading of each allele for each SV on the first 3 principal</w:t>
      </w:r>
      <w:r>
        <w:t xml:space="preserve"> </w:t>
      </w:r>
      <w:r>
        <w:t xml:space="preserve">components.</w:t>
      </w:r>
    </w:p>
    <w:p>
      <w:pPr>
        <w:pStyle w:val="BodyText"/>
      </w:pPr>
      <w:r>
        <w:t xml:space="preserve">To find SV potentially involved in introgression, we employed custom</w:t>
      </w:r>
      <w:r>
        <w:t xml:space="preserve"> </w:t>
      </w:r>
      <w:r>
        <w:t xml:space="preserve">scripts to identify ancestry blocks along the chromosomes of all 335</w:t>
      </w:r>
      <w:r>
        <w:t xml:space="preserve"> </w:t>
      </w:r>
      <w:r>
        <w:t xml:space="preserve">admixed individuals in this study. An individual was considered admixed</w:t>
      </w:r>
      <w:r>
        <w:t xml:space="preserve"> </w:t>
      </w:r>
      <w:r>
        <w:t xml:space="preserve">if its k=2 ADMIXTURE score indicated at least 5 percent admixture genome-wide.</w:t>
      </w:r>
      <w:r>
        <w:t xml:space="preserve"> </w:t>
      </w:r>
      <w:r>
        <w:t xml:space="preserve">We used Bedtools</w:t>
      </w:r>
      <w:r>
        <w:t xml:space="preserve"> </w:t>
      </w:r>
      <w:r>
        <w:t xml:space="preserve">(Quinlan and Hall 2010)</w:t>
      </w:r>
      <w:r>
        <w:t xml:space="preserve"> </w:t>
      </w:r>
      <w:r>
        <w:t xml:space="preserve">to find SV that overlapped</w:t>
      </w:r>
      <w:r>
        <w:t xml:space="preserve"> </w:t>
      </w:r>
      <w:r>
        <w:t xml:space="preserve">ancestry blocks in each admixed individual. We then scored each SV</w:t>
      </w:r>
      <w:r>
        <w:t xml:space="preserve"> </w:t>
      </w:r>
      <w:r>
        <w:t xml:space="preserve">allele based on its prevalence in ancestry blocks that contrasted the</w:t>
      </w:r>
      <w:r>
        <w:t xml:space="preserve"> </w:t>
      </w:r>
      <w:r>
        <w:t xml:space="preserve">average global ancestry of an individual.</w:t>
      </w:r>
    </w:p>
    <w:p>
      <w:pPr>
        <w:pStyle w:val="BodyText"/>
      </w:pPr>
      <w:r>
        <w:t xml:space="preserve">For all SV that were outliers in principal component or LAI analyses, we</w:t>
      </w:r>
      <w:r>
        <w:t xml:space="preserve"> </w:t>
      </w:r>
      <w:r>
        <w:t xml:space="preserve">used Bedtools to check for overlap with annotated genes. We then used</w:t>
      </w:r>
      <w:r>
        <w:t xml:space="preserve"> </w:t>
      </w:r>
      <w:r>
        <w:t xml:space="preserve">plantgenie to analyze PFAM enrichment of gene sets</w:t>
      </w:r>
      <w:r>
        <w:t xml:space="preserve"> </w:t>
      </w:r>
      <w:r>
        <w:t xml:space="preserve">(Sundell et al. 2015)</w:t>
      </w:r>
      <w:r>
        <w:t xml:space="preserve">.</w:t>
      </w:r>
    </w:p>
    <w:bookmarkEnd w:id="25"/>
    <w:bookmarkEnd w:id="26"/>
    <w:bookmarkStart w:id="35" w:name="results"/>
    <w:p>
      <w:pPr>
        <w:pStyle w:val="Heading2"/>
      </w:pPr>
      <w:r>
        <w:t xml:space="preserve">0.3 Results</w:t>
      </w:r>
    </w:p>
    <w:bookmarkStart w:id="27" w:name="whole-genome-sequencing-and-assembly."/>
    <w:p>
      <w:pPr>
        <w:pStyle w:val="Heading3"/>
      </w:pPr>
      <w:r>
        <w:t xml:space="preserve">0.3.1 Whole genome sequencing and assembly.</w:t>
      </w:r>
    </w:p>
    <w:p>
      <w:pPr>
        <w:pStyle w:val="FirstParagraph"/>
      </w:pPr>
      <w:r>
        <w:t xml:space="preserve">Illumina sequencing yielded on average of 8358 MB of sequence,</w:t>
      </w:r>
      <w:r>
        <w:t xml:space="preserve"> </w:t>
      </w:r>
      <w:r>
        <w:t xml:space="preserve">corresponding to an average sequencing depth of 21x. PacBio HiFi</w:t>
      </w:r>
      <w:r>
        <w:t xml:space="preserve"> </w:t>
      </w:r>
      <w:r>
        <w:t xml:space="preserve">sequencing yielded on average 6368 MB of sequence, corresponding to an</w:t>
      </w:r>
      <w:r>
        <w:t xml:space="preserve"> </w:t>
      </w:r>
      <w:r>
        <w:t xml:space="preserve">average sequencing depth of 16x. Sample 939 was sequenced to a depth of</w:t>
      </w:r>
      <w:r>
        <w:t xml:space="preserve"> </w:t>
      </w:r>
      <w:r>
        <w:t xml:space="preserve">roughly 60X HiFi and roughly 20X ONT reads. Table 1 shows summary</w:t>
      </w:r>
      <w:r>
        <w:t xml:space="preserve"> </w:t>
      </w:r>
      <w:r>
        <w:t xml:space="preserve">statistics for the 16 whole genome assemblies included in the</w:t>
      </w:r>
      <w:r>
        <w:t xml:space="preserve"> </w:t>
      </w:r>
      <w:r>
        <w:t xml:space="preserve">pan-genome. Assembly quality and contiguity were generally high, however</w:t>
      </w:r>
      <w:r>
        <w:t xml:space="preserve"> </w:t>
      </w:r>
      <w:r>
        <w:t xml:space="preserve">alternate haplotypes were not always fully assembled (Table 1).</w:t>
      </w:r>
    </w:p>
    <w:bookmarkEnd w:id="27"/>
    <w:bookmarkStart w:id="28" w:name="pan-genome-assembly-1"/>
    <w:p>
      <w:pPr>
        <w:pStyle w:val="Heading3"/>
      </w:pPr>
      <w:r>
        <w:t xml:space="preserve">0.3.2 Pan-genome assembly</w:t>
      </w:r>
    </w:p>
    <w:p>
      <w:pPr>
        <w:pStyle w:val="FirstParagraph"/>
      </w:pPr>
      <w:r>
        <w:t xml:space="preserve">The minigraph-cactus pangenome graph contained a total of 102,907,131</w:t>
      </w:r>
      <w:r>
        <w:t xml:space="preserve"> </w:t>
      </w:r>
      <w:r>
        <w:t xml:space="preserve">nodes comprising 1.2 Gbp of sequence. Of this, 243 Mbp was present</w:t>
      </w:r>
      <w:r>
        <w:t xml:space="preserve"> </w:t>
      </w:r>
      <w:r>
        <w:t xml:space="preserve">across all individuals (core genome), while 423Mbp was present in some</w:t>
      </w:r>
      <w:r>
        <w:t xml:space="preserve"> </w:t>
      </w:r>
      <w:r>
        <w:t xml:space="preserve">but not all individuals (shell genome). The remaining 537 Mbp</w:t>
      </w:r>
      <w:r>
        <w:t xml:space="preserve"> </w:t>
      </w:r>
      <w:r>
        <w:t xml:space="preserve">represented singleton sequence.</w:t>
      </w:r>
      <w:r>
        <w:t xml:space="preserve"> </w:t>
      </w:r>
      <w:hyperlink w:anchor="fig-2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how the size of the</w:t>
      </w:r>
      <w:r>
        <w:t xml:space="preserve"> </w:t>
      </w:r>
      <w:r>
        <w:t xml:space="preserve">sequence classes changes as individuals are added to the pan-genome.</w:t>
      </w:r>
      <w:r>
        <w:t xml:space="preserve"> </w:t>
      </w:r>
      <w:hyperlink w:anchor="fig-3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shows the proportions of core, shell and singleton sequence</w:t>
      </w:r>
      <w:r>
        <w:t xml:space="preserve"> </w:t>
      </w:r>
      <w:r>
        <w:t xml:space="preserve">within each sample.</w:t>
      </w:r>
      <w:r>
        <w:t xml:space="preserve"> </w:t>
      </w:r>
      <w:hyperlink w:anchor="fig-4">
        <w:r>
          <w:rPr>
            <w:rStyle w:val="Hyperlink"/>
          </w:rPr>
          <w:t xml:space="preserve">Figure 4</w:t>
        </w:r>
      </w:hyperlink>
      <w:r>
        <w:t xml:space="preserve"> </w:t>
      </w:r>
      <w:r>
        <w:t xml:space="preserve">shows each genome in the pan-genome graph</w:t>
      </w:r>
      <w:r>
        <w:t xml:space="preserve"> </w:t>
      </w:r>
      <w:r>
        <w:t xml:space="preserve">plotted on the first two principal components of a PCA on PAV of</w:t>
      </w:r>
      <w:r>
        <w:t xml:space="preserve"> </w:t>
      </w:r>
      <w:r>
        <w:t xml:space="preserve">reference sequence.</w:t>
      </w:r>
    </w:p>
    <w:bookmarkEnd w:id="28"/>
    <w:bookmarkStart w:id="29" w:name="pan-genomic-variation"/>
    <w:p>
      <w:pPr>
        <w:pStyle w:val="Heading3"/>
      </w:pPr>
      <w:r>
        <w:t xml:space="preserve">0.3.3 Pan-genomic Variation</w:t>
      </w:r>
    </w:p>
    <w:p>
      <w:pPr>
        <w:pStyle w:val="FirstParagraph"/>
      </w:pPr>
      <w:r>
        <w:t xml:space="preserve">3708 annotated genes were variably present or absent across the 17</w:t>
      </w:r>
      <w:r>
        <w:t xml:space="preserve"> </w:t>
      </w:r>
      <w:r>
        <w:t xml:space="preserve">genomes used to construct the pan- =genome. These genes were</w:t>
      </w:r>
      <w:r>
        <w:t xml:space="preserve"> </w:t>
      </w:r>
      <w:r>
        <w:t xml:space="preserve">significantly enriched for various protein families including NB-ARC</w:t>
      </w:r>
      <w:r>
        <w:t xml:space="preserve"> </w:t>
      </w:r>
      <w:r>
        <w:t xml:space="preserve">domain, D-mannose binding lectin, sulfotransferases, cupins, and</w:t>
      </w:r>
      <w:r>
        <w:t xml:space="preserve"> </w:t>
      </w:r>
      <w:r>
        <w:t xml:space="preserve">Cytochrome P450. Of these shell genes, 167 were present in all of the</w:t>
      </w:r>
      <w:r>
        <w:t xml:space="preserve"> </w:t>
      </w:r>
      <w:r>
        <w:t xml:space="preserve">pure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individuals and none of the pure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samples making up the pan-genome graph. These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-</w:t>
      </w:r>
      <w:r>
        <w:t xml:space="preserve"> </w:t>
      </w:r>
      <w:r>
        <w:t xml:space="preserve">specific genes were enriched for protein families, including</w:t>
      </w:r>
      <w:r>
        <w:t xml:space="preserve"> </w:t>
      </w:r>
      <w:r>
        <w:t xml:space="preserve">sulfotransferases, serine carboxypeptidases, Mlo family proteins,</w:t>
      </w:r>
      <w:r>
        <w:t xml:space="preserve"> </w:t>
      </w:r>
      <w:r>
        <w:t xml:space="preserve">D-mannose binding lectin, Glycosyl hydrolases and absistic acid (ABA)</w:t>
      </w:r>
      <w:r>
        <w:t xml:space="preserve"> </w:t>
      </w:r>
      <w:r>
        <w:t xml:space="preserve">induced proteins.</w:t>
      </w:r>
    </w:p>
    <w:p>
      <w:pPr>
        <w:pStyle w:val="BodyText"/>
      </w:pPr>
      <w:r>
        <w:t xml:space="preserve">The cactus pan-genome graph contained 1,773,427 SV greater than 20bp in</w:t>
      </w:r>
      <w:r>
        <w:t xml:space="preserve"> </w:t>
      </w:r>
      <w:r>
        <w:t xml:space="preserve">length.</w:t>
      </w:r>
      <w:r>
        <w:t xml:space="preserve"> </w:t>
      </w:r>
      <w:hyperlink w:anchor="fig-5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shows the distribution of these variants across the</w:t>
      </w:r>
      <w:r>
        <w:t xml:space="preserve"> </w:t>
      </w:r>
      <w:r>
        <w:t xml:space="preserve">genome. The distribution of frequencies of the non-reference allele for</w:t>
      </w:r>
      <w:r>
        <w:t xml:space="preserve"> </w:t>
      </w:r>
      <w:r>
        <w:t xml:space="preserve">these SV is shown in</w:t>
      </w:r>
      <w:r>
        <w:t xml:space="preserve"> </w:t>
      </w:r>
      <w:hyperlink w:anchor="fig-6">
        <w:r>
          <w:rPr>
            <w:rStyle w:val="Hyperlink"/>
          </w:rPr>
          <w:t xml:space="preserve">Figure 6</w:t>
        </w:r>
      </w:hyperlink>
      <w:r>
        <w:t xml:space="preserve">.</w:t>
      </w:r>
    </w:p>
    <w:p>
      <w:pPr>
        <w:pStyle w:val="BodyText"/>
      </w:pPr>
      <w:r>
        <w:t xml:space="preserve">The first two principal components of a PCA on PAV genotyped from short</w:t>
      </w:r>
      <w:r>
        <w:t xml:space="preserve"> </w:t>
      </w:r>
      <w:r>
        <w:t xml:space="preserve">read alignments to the pan-genome graph are shown in</w:t>
      </w:r>
      <w:r>
        <w:t xml:space="preserve"> </w:t>
      </w:r>
      <w:hyperlink w:anchor="fig-7">
        <w:r>
          <w:rPr>
            <w:rStyle w:val="Hyperlink"/>
          </w:rPr>
          <w:t xml:space="preserve">Figure 7</w:t>
        </w:r>
      </w:hyperlink>
      <w:r>
        <w:t xml:space="preserve">. The loading</w:t>
      </w:r>
      <w:r>
        <w:t xml:space="preserve"> </w:t>
      </w:r>
      <w:r>
        <w:t xml:space="preserve">of each allele for each SV on the first principal component of a PCA on</w:t>
      </w:r>
      <w:r>
        <w:t xml:space="preserve"> </w:t>
      </w:r>
      <w:r>
        <w:t xml:space="preserve">PAV genotyped from short read alignments to the pan-genome graph is</w:t>
      </w:r>
      <w:r>
        <w:t xml:space="preserve"> </w:t>
      </w:r>
      <w:r>
        <w:t xml:space="preserve">shown in</w:t>
      </w:r>
      <w:r>
        <w:t xml:space="preserve"> </w:t>
      </w:r>
      <w:hyperlink w:anchor="fig-8">
        <w:r>
          <w:rPr>
            <w:rStyle w:val="Hyperlink"/>
          </w:rPr>
          <w:t xml:space="preserve">Figure 8</w:t>
        </w:r>
      </w:hyperlink>
      <w:r>
        <w:t xml:space="preserve">. The SV that were outliers on PC1 overlapped 1362</w:t>
      </w:r>
      <w:r>
        <w:t xml:space="preserve"> </w:t>
      </w:r>
      <w:r>
        <w:t xml:space="preserve">annotated genes. These genes were significantly enriched for protein</w:t>
      </w:r>
      <w:r>
        <w:t xml:space="preserve"> </w:t>
      </w:r>
      <w:r>
        <w:t xml:space="preserve">families involved in development and growth (K-Box proteins, KNOX</w:t>
      </w:r>
      <w:r>
        <w:t xml:space="preserve"> </w:t>
      </w:r>
      <w:r>
        <w:t xml:space="preserve">proteins), cold tolerance (DEAD/DEAH box helicases), and phenology (SRF</w:t>
      </w:r>
      <w:r>
        <w:t xml:space="preserve"> </w:t>
      </w:r>
      <w:r>
        <w:t xml:space="preserve">transcription factors).</w:t>
      </w:r>
    </w:p>
    <w:bookmarkEnd w:id="29"/>
    <w:bookmarkStart w:id="30" w:name="sv-and-introgression"/>
    <w:p>
      <w:pPr>
        <w:pStyle w:val="Heading3"/>
      </w:pPr>
      <w:r>
        <w:t xml:space="preserve">0.3.4 SV and Introgression</w:t>
      </w:r>
    </w:p>
    <w:p>
      <w:pPr>
        <w:pStyle w:val="FirstParagraph"/>
      </w:pPr>
      <w:r>
        <w:t xml:space="preserve">We identified 126,973 SV that overlapped ancestry blocks in admixed</w:t>
      </w:r>
      <w:r>
        <w:t xml:space="preserve"> </w:t>
      </w:r>
      <w:r>
        <w:t xml:space="preserve">individuals, and found that 30,721 of these were associated with blocks</w:t>
      </w:r>
      <w:r>
        <w:t xml:space="preserve"> </w:t>
      </w:r>
      <w:r>
        <w:t xml:space="preserve">of either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ancestry in admixed</w:t>
      </w:r>
      <w:r>
        <w:t xml:space="preserve"> </w:t>
      </w:r>
      <w:r>
        <w:t xml:space="preserve">individuals.</w:t>
      </w:r>
    </w:p>
    <w:bookmarkEnd w:id="30"/>
    <w:bookmarkStart w:id="34" w:name="tables"/>
    <w:p>
      <w:pPr>
        <w:pStyle w:val="Heading3"/>
      </w:pPr>
      <w:r>
        <w:t xml:space="preserve">0.3.5 Tables</w:t>
      </w:r>
    </w:p>
    <w:p>
      <w:pPr>
        <w:pStyle w:val="FirstParagraph"/>
      </w:pPr>
      <w:r>
        <w:drawing>
          <wp:inline>
            <wp:extent cx="5334000" cy="4915243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table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End w:id="35"/>
    <w:bookmarkStart w:id="113" w:name="figures"/>
    <w:p>
      <w:pPr>
        <w:pStyle w:val="Heading1"/>
      </w:pPr>
      <w:r>
        <w:t xml:space="preserve">1. Figures</w:t>
      </w:r>
    </w:p>
    <w:bookmarkStart w:id="39" w:name="fig-1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s/msamp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1: (Left): sampling locations for 575 individuals used in this study, color</w:t>
      </w:r>
      <w:r>
        <w:t xml:space="preserve"> </w:t>
      </w:r>
      <w:r>
        <w:t xml:space="preserve">indicates ancestry based in ADMIXTURE analysis (Right): A subset of 16</w:t>
      </w:r>
      <w:r>
        <w:t xml:space="preserve"> </w:t>
      </w:r>
      <w:r>
        <w:t xml:space="preserve">individuals used for whole genome assembly</w:t>
      </w:r>
    </w:p>
    <w:bookmarkEnd w:id="39"/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2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s/pg_growth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Pan-genome growth curve visualizes the change in core and shell genome</w:t>
            </w:r>
            <w:r>
              <w:t xml:space="preserve"> </w:t>
            </w:r>
            <w:r>
              <w:t xml:space="preserve">size as samples are added</w:t>
            </w:r>
          </w:p>
          <w:bookmarkEnd w:id="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3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s/pg_content.jp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The relative length of the core, shell and singleton portions of the</w:t>
            </w:r>
            <w:r>
              <w:t xml:space="preserve"> </w:t>
            </w:r>
            <w:r>
              <w:t xml:space="preserve">pan-genome for each sample represented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4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s/pav_pca.jp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The first two principal components of a PCA on presence/absence</w:t>
            </w:r>
            <w:r>
              <w:t xml:space="preserve"> </w:t>
            </w:r>
            <w:r>
              <w:t xml:space="preserve">variation in the pan-genome. Color indicates ancestry based in ADMIXTURE</w:t>
            </w:r>
            <w:r>
              <w:t xml:space="preserve"> </w:t>
            </w:r>
            <w:r>
              <w:t xml:space="preserve">analysis.</w:t>
            </w:r>
          </w:p>
          <w:bookmarkEnd w:id="5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5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s/sv_density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The distribution of SV larger than 20bp in length across the genome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6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s/sv_freq.jp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The frequency distribution of the non-referenceallele for SV of different size classes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7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s/sv_pc1_pc2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The first two principal components of a PCA of PAV genotyped from short</w:t>
            </w:r>
            <w:r>
              <w:t xml:space="preserve"> </w:t>
            </w:r>
            <w:r>
              <w:t xml:space="preserve">read alignments to the pan-genome graph. Color indicates ancestry based</w:t>
            </w:r>
            <w:r>
              <w:t xml:space="preserve"> </w:t>
            </w:r>
            <w:r>
              <w:t xml:space="preserve">in ADMIXTURE analysis. Shape indicates which of the latitudinal</w:t>
            </w:r>
            <w:r>
              <w:t xml:space="preserve"> </w:t>
            </w:r>
            <w:r>
              <w:t xml:space="preserve">transects the individual was sampled from.</w:t>
            </w:r>
          </w:p>
          <w:bookmarkEnd w:id="6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8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s/pc1_loading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The loading of each allele for each SV on the first principle component</w:t>
            </w:r>
            <w:r>
              <w:t xml:space="preserve"> </w:t>
            </w:r>
            <w:r>
              <w:t xml:space="preserve">of a PCA on PAV genotyped from short read alignments to the pan-genome</w:t>
            </w:r>
            <w:r>
              <w:t xml:space="preserve"> </w:t>
            </w:r>
            <w:r>
              <w:t xml:space="preserve">graph. Red points are indicate P. trichocarpa reference alleles, blue</w:t>
            </w:r>
            <w:r>
              <w:t xml:space="preserve"> </w:t>
            </w:r>
            <w:r>
              <w:t xml:space="preserve">points indicate non-reference alleles.</w:t>
            </w:r>
          </w:p>
          <w:bookmarkEnd w:id="67"/>
        </w:tc>
      </w:tr>
    </w:tbl>
    <w:bookmarkStart w:id="112" w:name="references"/>
    <w:p>
      <w:pPr>
        <w:pStyle w:val="Heading2"/>
      </w:pPr>
      <w:r>
        <w:t xml:space="preserve">References</w:t>
      </w:r>
    </w:p>
    <w:bookmarkStart w:id="111" w:name="refs"/>
    <w:bookmarkStart w:id="68" w:name="ref-almarri2020population"/>
    <w:p>
      <w:pPr>
        <w:pStyle w:val="Bibliography"/>
      </w:pPr>
      <w:r>
        <w:t xml:space="preserve">Almarri, Mohamed A, Anders Bergström, Javier Prado-Martinez, Fengtang Yang, Beiyuan Fu, Alistair S Dunham, Yuan Chen, Matthew E Hurles, Chris Tyler-Smith, and Yali Xue. 2020.</w:t>
      </w:r>
      <w:r>
        <w:t xml:space="preserve"> </w:t>
      </w:r>
      <w:r>
        <w:t xml:space="preserve">“Population Structure, Stratification, and Introgression of Human Structural Variation.”</w:t>
      </w:r>
      <w:r>
        <w:t xml:space="preserve"> </w:t>
      </w:r>
      <w:r>
        <w:rPr>
          <w:i/>
          <w:iCs/>
        </w:rPr>
        <w:t xml:space="preserve">Cell</w:t>
      </w:r>
      <w:r>
        <w:t xml:space="preserve"> </w:t>
      </w:r>
      <w:r>
        <w:t xml:space="preserve">182 (1): 189–99.</w:t>
      </w:r>
    </w:p>
    <w:bookmarkEnd w:id="68"/>
    <w:bookmarkStart w:id="69" w:name="ref-chang2015second"/>
    <w:p>
      <w:pPr>
        <w:pStyle w:val="Bibliography"/>
      </w:pPr>
      <w:r>
        <w:t xml:space="preserve">Chang, Christopher C, Carson C Chow, Laurent CAM Tellier, Shashaank Vattikuti, Shaun M Purcell, and James J Lee. 2015.</w:t>
      </w:r>
      <w:r>
        <w:t xml:space="preserve"> </w:t>
      </w:r>
      <w:r>
        <w:t xml:space="preserve">“Second-Generation PLINK: Rising to the Challenge of Larger and Richer Datasets.”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4 (1): s13742–015.</w:t>
      </w:r>
    </w:p>
    <w:bookmarkEnd w:id="69"/>
    <w:bookmarkStart w:id="70" w:name="ref-cheng2019frequent"/>
    <w:p>
      <w:pPr>
        <w:pStyle w:val="Bibliography"/>
      </w:pPr>
      <w:r>
        <w:t xml:space="preserve">Cheng, Hong, Jing Liu, Jia Wen, Xiaojun Nie, Luohao Xu, Ningbo Chen, Zhongxing Li, et al. 2019.</w:t>
      </w:r>
      <w:r>
        <w:t xml:space="preserve"> </w:t>
      </w:r>
      <w:r>
        <w:t xml:space="preserve">“Frequent Intra-and Inter-Species Introgression Shapes the Landscape of Genetic Variation in Bread Wheat.”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20: 1–16.</w:t>
      </w:r>
    </w:p>
    <w:bookmarkEnd w:id="70"/>
    <w:bookmarkStart w:id="72" w:name="ref-danecek2021"/>
    <w:p>
      <w:pPr>
        <w:pStyle w:val="Bibliography"/>
      </w:pPr>
      <w:r>
        <w:t xml:space="preserve">Danecek, Petr, James K Bonfield, Jennifer Liddle, John Marshall, Valeriu Ohan, Martin O Pollard, Andrew Whitwham, et al. 2021.</w:t>
      </w:r>
      <w:r>
        <w:t xml:space="preserve"> </w:t>
      </w:r>
      <w:r>
        <w:t xml:space="preserve">“Twelve Years of SAMtools and BCFtools.”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10 (2).</w:t>
      </w:r>
      <w:r>
        <w:t xml:space="preserve"> </w:t>
      </w:r>
      <w:hyperlink r:id="rId71">
        <w:r>
          <w:rPr>
            <w:rStyle w:val="Hyperlink"/>
          </w:rPr>
          <w:t xml:space="preserve">https://doi.org/10.1093/gigascience/giab008</w:t>
        </w:r>
      </w:hyperlink>
      <w:r>
        <w:t xml:space="preserve">.</w:t>
      </w:r>
    </w:p>
    <w:bookmarkEnd w:id="72"/>
    <w:bookmarkStart w:id="73" w:name="ref-dias2018loter"/>
    <w:p>
      <w:pPr>
        <w:pStyle w:val="Bibliography"/>
      </w:pPr>
      <w:r>
        <w:t xml:space="preserve">Dias-Alves, Thomas, Julien Mairal, and Michael GB Blum. 2018.</w:t>
      </w:r>
      <w:r>
        <w:t xml:space="preserve"> </w:t>
      </w:r>
      <w:r>
        <w:t xml:space="preserve">“Loter: A Software Package to Infer Local Ancestry for a Wide Range of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35 (9): 2318–26.</w:t>
      </w:r>
    </w:p>
    <w:bookmarkEnd w:id="73"/>
    <w:bookmarkStart w:id="74" w:name="ref-fang2024fitness"/>
    <w:p>
      <w:pPr>
        <w:pStyle w:val="Bibliography"/>
      </w:pPr>
      <w:r>
        <w:t xml:space="preserve">Fang, Bohao, and Scott V Edwards. 2024.</w:t>
      </w:r>
      <w:r>
        <w:t xml:space="preserve"> </w:t>
      </w:r>
      <w:r>
        <w:t xml:space="preserve">“Fitness Consequences of Structural Variation Inferred from a House Finch Pangenome.”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121 (47): e2409943121.</w:t>
      </w:r>
    </w:p>
    <w:bookmarkEnd w:id="74"/>
    <w:bookmarkStart w:id="75" w:name="ref-gao2019tomato"/>
    <w:p>
      <w:pPr>
        <w:pStyle w:val="Bibliography"/>
      </w:pPr>
      <w:r>
        <w:t xml:space="preserve">Gao, Lei, Itay Gonda, Honghe Sun, Qiyue Ma, Kan Bao, Denise M Tieman, Elizabeth A Burzynski-Chang, et al. 2019.</w:t>
      </w:r>
      <w:r>
        <w:t xml:space="preserve"> </w:t>
      </w:r>
      <w:r>
        <w:t xml:space="preserve">“The Tomato Pan-Genome Uncovers New Genes and a Rare Allele Regulating Fruit Flavor.”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51 (6): 1044–51.</w:t>
      </w:r>
    </w:p>
    <w:bookmarkEnd w:id="75"/>
    <w:bookmarkStart w:id="77" w:name="ref-garrison2018"/>
    <w:p>
      <w:pPr>
        <w:pStyle w:val="Bibliography"/>
      </w:pPr>
      <w:r>
        <w:t xml:space="preserve">Garrison, Erik, Jouni Sirén, Adam M Novak, Glenn Hickey, Jordan M Eizenga, Eric T Dawson, William Jones, et al. 2018.</w:t>
      </w:r>
      <w:r>
        <w:t xml:space="preserve"> </w:t>
      </w:r>
      <w:r>
        <w:t xml:space="preserve">“Variation Graph Toolkit Improves Read Mapping by Representing Genetic Variation in the Reference.”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36 (9): 875–79.</w:t>
      </w:r>
      <w:r>
        <w:t xml:space="preserve"> </w:t>
      </w:r>
      <w:hyperlink r:id="rId76">
        <w:r>
          <w:rPr>
            <w:rStyle w:val="Hyperlink"/>
          </w:rPr>
          <w:t xml:space="preserve">https://doi.org/10.1038/nbt.4227</w:t>
        </w:r>
      </w:hyperlink>
      <w:r>
        <w:t xml:space="preserve">.</w:t>
      </w:r>
    </w:p>
    <w:bookmarkEnd w:id="77"/>
    <w:bookmarkStart w:id="78" w:name="ref-gurevich2013quast"/>
    <w:p>
      <w:pPr>
        <w:pStyle w:val="Bibliography"/>
      </w:pPr>
      <w:r>
        <w:t xml:space="preserve">Gurevich, Alexey, Vladislav Saveliev, Nikolay Vyahhi, and Glenn Tesler. 2013.</w:t>
      </w:r>
      <w:r>
        <w:t xml:space="preserve"> </w:t>
      </w:r>
      <w:r>
        <w:t xml:space="preserve">“QUAST: Quality Assessment Tool for Genome Assemblies.”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29 (8): 1072–75.</w:t>
      </w:r>
    </w:p>
    <w:bookmarkEnd w:id="78"/>
    <w:bookmarkStart w:id="79" w:name="ref-hamala2021genomic"/>
    <w:p>
      <w:pPr>
        <w:pStyle w:val="Bibliography"/>
      </w:pPr>
      <w:r>
        <w:t xml:space="preserve">Hämälä, Tuomas, Eric K Wafula, Mark J Guiltinan, Paula E Ralph, Claude W Depamphilis, and Peter Tiffin. 2021.</w:t>
      </w:r>
      <w:r>
        <w:t xml:space="preserve"> </w:t>
      </w:r>
      <w:r>
        <w:t xml:space="preserve">“Genomic Structural Variants Constrain and Facilitate Adaptation in Natural Populations of Theobroma Cacao, the Chocolate Tree.”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(35): e2102914118.</w:t>
      </w:r>
    </w:p>
    <w:bookmarkEnd w:id="79"/>
    <w:bookmarkStart w:id="80" w:name="ref-hamilton2016adaptive"/>
    <w:p>
      <w:pPr>
        <w:pStyle w:val="Bibliography"/>
      </w:pPr>
      <w:r>
        <w:t xml:space="preserve">Hamilton, Jill A, and Joshua M Miller. 2016.</w:t>
      </w:r>
      <w:r>
        <w:t xml:space="preserve"> </w:t>
      </w:r>
      <w:r>
        <w:t xml:space="preserve">“Adaptive Introgression as a Resource for Management and Genetic Conservation in a Changing Climate.”</w:t>
      </w:r>
      <w:r>
        <w:t xml:space="preserve"> </w:t>
      </w:r>
      <w:r>
        <w:rPr>
          <w:i/>
          <w:iCs/>
        </w:rPr>
        <w:t xml:space="preserve">Conservation Biology</w:t>
      </w:r>
      <w:r>
        <w:t xml:space="preserve"> </w:t>
      </w:r>
      <w:r>
        <w:t xml:space="preserve">30 (1): 33–41.</w:t>
      </w:r>
    </w:p>
    <w:bookmarkEnd w:id="80"/>
    <w:bookmarkStart w:id="82" w:name="ref-hickey2023"/>
    <w:p>
      <w:pPr>
        <w:pStyle w:val="Bibliography"/>
      </w:pPr>
      <w:r>
        <w:t xml:space="preserve">Hickey, Glenn, Jean Monlong, Jana Ebler, Adam M. Novak, Jordan M. Eizenga, Yan Gao, Haley J. Abel, et al. 2023.</w:t>
      </w:r>
      <w:r>
        <w:t xml:space="preserve"> </w:t>
      </w:r>
      <w:r>
        <w:t xml:space="preserve">“Pangenome Graph Construction from Genome Alignments with Minigraph-Cactus.”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42 (4): 663–73.</w:t>
      </w:r>
      <w:r>
        <w:t xml:space="preserve"> </w:t>
      </w:r>
      <w:hyperlink r:id="rId81">
        <w:r>
          <w:rPr>
            <w:rStyle w:val="Hyperlink"/>
          </w:rPr>
          <w:t xml:space="preserve">https://doi.org/10.1038/s41587-023-01793-w</w:t>
        </w:r>
      </w:hyperlink>
      <w:r>
        <w:t xml:space="preserve">.</w:t>
      </w:r>
    </w:p>
    <w:bookmarkEnd w:id="82"/>
    <w:bookmarkStart w:id="83" w:name="ref-kou2020evolutionary"/>
    <w:p>
      <w:pPr>
        <w:pStyle w:val="Bibliography"/>
      </w:pPr>
      <w:r>
        <w:t xml:space="preserve">Kou, Yixuan, Yi Liao, Tuomas Toivainen, Yuanda Lv, Xinmin Tian, JJ Emerson, Brandon S Gaut, and Yongfeng Zhou. 2020.</w:t>
      </w:r>
      <w:r>
        <w:t xml:space="preserve"> </w:t>
      </w:r>
      <w:r>
        <w:t xml:space="preserve">“Evolutionary Genomics of Structural Variation in Asian Rice (Oryza Sativa) Domestication.”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37 (12): 3507–24.</w:t>
      </w:r>
    </w:p>
    <w:bookmarkEnd w:id="83"/>
    <w:bookmarkStart w:id="84" w:name="ref-leroy2020adaptive"/>
    <w:p>
      <w:pPr>
        <w:pStyle w:val="Bibliography"/>
      </w:pPr>
      <w:r>
        <w:t xml:space="preserve">Leroy, Thibault, Jean-Marc Louvet, Céline Lalanne, Grégoire Le Provost, Karine Labadie, Jean-Marc Aury, Sylvain Delzon, Christophe Plomion, and Antoine Kremer. 2020.</w:t>
      </w:r>
      <w:r>
        <w:t xml:space="preserve"> </w:t>
      </w:r>
      <w:r>
        <w:t xml:space="preserve">“Adaptive Introgression as a Driver of Local Adaptation to Climate in European White Oaks.”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1171–82.</w:t>
      </w:r>
    </w:p>
    <w:bookmarkEnd w:id="84"/>
    <w:bookmarkStart w:id="85" w:name="ref-li2018minimap2"/>
    <w:p>
      <w:pPr>
        <w:pStyle w:val="Bibliography"/>
      </w:pPr>
      <w:r>
        <w:t xml:space="preserve">Li, Heng. 2018.</w:t>
      </w:r>
      <w:r>
        <w:t xml:space="preserve"> </w:t>
      </w:r>
      <w:r>
        <w:t xml:space="preserve">“Minimap2: Pairwise Alignment for Nucleotide Sequences.”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34 (18): 3094–3100.</w:t>
      </w:r>
    </w:p>
    <w:bookmarkEnd w:id="85"/>
    <w:bookmarkStart w:id="86" w:name="ref-li2010fast"/>
    <w:p>
      <w:pPr>
        <w:pStyle w:val="Bibliography"/>
      </w:pPr>
      <w:r>
        <w:t xml:space="preserve">Li, Heng, and Richard Durbin. 2010.</w:t>
      </w:r>
      <w:r>
        <w:t xml:space="preserve"> </w:t>
      </w:r>
      <w:r>
        <w:t xml:space="preserve">“Fast and Accurate Long-Read Alignment with Burrows–Wheeler Transform.”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(5): 589–95.</w:t>
      </w:r>
    </w:p>
    <w:bookmarkEnd w:id="86"/>
    <w:bookmarkStart w:id="87" w:name="ref-li2023identification"/>
    <w:p>
      <w:pPr>
        <w:pStyle w:val="Bibliography"/>
      </w:pPr>
      <w:r>
        <w:t xml:space="preserve">Li, Kunpeng, Peng Xu, Jinpeng Wang, Xin Yi, and Yuannian Jiao. 2023.</w:t>
      </w:r>
      <w:r>
        <w:t xml:space="preserve"> </w:t>
      </w:r>
      <w:r>
        <w:t xml:space="preserve">“Identification of Errors in Draft Genome Assemblies at Single-Nucleotide Resolution for Quality Assessment and Improvement.”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6556.</w:t>
      </w:r>
    </w:p>
    <w:bookmarkEnd w:id="87"/>
    <w:bookmarkStart w:id="88" w:name="ref-li2024pan"/>
    <w:p>
      <w:pPr>
        <w:pStyle w:val="Bibliography"/>
      </w:pPr>
      <w:r>
        <w:t xml:space="preserve">Li, Yancan, Jun Yao, Huiling Sang, Quangui Wang, Long Su, Xiaomeng Zhao, Zhenyu Xia, et al. 2024.</w:t>
      </w:r>
      <w:r>
        <w:t xml:space="preserve"> </w:t>
      </w:r>
      <w:r>
        <w:t xml:space="preserve">“Pan-Genome Analysis Highlights the Role of Structural Variation in the Evolution and Environmental Adaptation of Asian Honeybees.”</w:t>
      </w:r>
      <w:r>
        <w:t xml:space="preserve"> </w:t>
      </w:r>
      <w:r>
        <w:rPr>
          <w:i/>
          <w:iCs/>
        </w:rPr>
        <w:t xml:space="preserve">Molecular Ecology Resources</w:t>
      </w:r>
      <w:r>
        <w:t xml:space="preserve"> </w:t>
      </w:r>
      <w:r>
        <w:t xml:space="preserve">24 (2): e13905.</w:t>
      </w:r>
    </w:p>
    <w:bookmarkEnd w:id="88"/>
    <w:bookmarkStart w:id="89" w:name="ref-li2023pig"/>
    <w:p>
      <w:pPr>
        <w:pStyle w:val="Bibliography"/>
      </w:pPr>
      <w:r>
        <w:t xml:space="preserve">Li, Zhengcao, Xiaohong Liu, Chen Wang, Zhenyang Li, Bo Jiang, Ruifeng Zhang, Lu Tong, et al. 2023.</w:t>
      </w:r>
      <w:r>
        <w:t xml:space="preserve"> </w:t>
      </w:r>
      <w:r>
        <w:t xml:space="preserve">“The Pig Pangenome Provides Insights into the Roles of Coding Structural Variations in Genetic Diversity and Adaptation.”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33 (10): 1833–47.</w:t>
      </w:r>
    </w:p>
    <w:bookmarkEnd w:id="89"/>
    <w:bookmarkStart w:id="91" w:name="ref-lu2022"/>
    <w:p>
      <w:pPr>
        <w:pStyle w:val="Bibliography"/>
      </w:pPr>
      <w:r>
        <w:t xml:space="preserve">Lu, Jennifer, Natalia Rincon, Derrick E. Wood, Florian P. Breitwieser, Christopher Pockrandt, Ben Langmead, Steven L. Salzberg, and Martin Steinegger. 2022.</w:t>
      </w:r>
      <w:r>
        <w:t xml:space="preserve"> </w:t>
      </w:r>
      <w:r>
        <w:t xml:space="preserve">“Metagenome Analysis Using the Kraken Software Suite.”</w:t>
      </w:r>
      <w:r>
        <w:t xml:space="preserve"> </w:t>
      </w:r>
      <w:r>
        <w:rPr>
          <w:i/>
          <w:iCs/>
        </w:rPr>
        <w:t xml:space="preserve">Nature Protocols</w:t>
      </w:r>
      <w:r>
        <w:t xml:space="preserve"> </w:t>
      </w:r>
      <w:r>
        <w:t xml:space="preserve">17 (12): 2815–39.</w:t>
      </w:r>
      <w:r>
        <w:t xml:space="preserve"> </w:t>
      </w:r>
      <w:hyperlink r:id="rId90">
        <w:r>
          <w:rPr>
            <w:rStyle w:val="Hyperlink"/>
          </w:rPr>
          <w:t xml:space="preserve">https://doi.org/10.1038/s41596-022-00738-y</w:t>
        </w:r>
      </w:hyperlink>
      <w:r>
        <w:t xml:space="preserve">.</w:t>
      </w:r>
    </w:p>
    <w:bookmarkEnd w:id="91"/>
    <w:bookmarkStart w:id="92" w:name="ref-nurk2020hicanu"/>
    <w:p>
      <w:pPr>
        <w:pStyle w:val="Bibliography"/>
      </w:pPr>
      <w:r>
        <w:t xml:space="preserve">Nurk, Sergey, Brian P Walenz, Arang Rhie, Mitchell R Vollger, Glennis A Logsdon, Robert Grothe, Karen H Miga, Evan E Eichler, Adam M Phillippy, and Sergey Koren. 2020.</w:t>
      </w:r>
      <w:r>
        <w:t xml:space="preserve"> </w:t>
      </w:r>
      <w:r>
        <w:t xml:space="preserve">“HiCanu: Accurate Assembly of Segmental Duplications, Satellites, and Allelic Variants from High-Fidelity Long Reads.”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30 (9): 1291–1305.</w:t>
      </w:r>
    </w:p>
    <w:bookmarkEnd w:id="92"/>
    <w:bookmarkStart w:id="94" w:name="ref-parmigiani2024"/>
    <w:p>
      <w:pPr>
        <w:pStyle w:val="Bibliography"/>
      </w:pPr>
      <w:r>
        <w:t xml:space="preserve">Parmigiani, Luca, Erik Garrison, Jens Stoye, Tobias Marschall, and Daniel Doerr. 2024.</w:t>
      </w:r>
      <w:r>
        <w:t xml:space="preserve"> </w:t>
      </w:r>
      <w:r>
        <w:t xml:space="preserve">“Panacus: Fast and Exact Pangenome Growth and Core Size Estimation.”</w:t>
      </w:r>
      <w:r>
        <w:t xml:space="preserve"> </w:t>
      </w:r>
      <w:r>
        <w:t xml:space="preserve">Edited by Janet Kelso.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, November.</w:t>
      </w:r>
      <w:r>
        <w:t xml:space="preserve"> </w:t>
      </w:r>
      <w:hyperlink r:id="rId93">
        <w:r>
          <w:rPr>
            <w:rStyle w:val="Hyperlink"/>
          </w:rPr>
          <w:t xml:space="preserve">https://doi.org/10.1093/bioinformatics/btae720</w:t>
        </w:r>
      </w:hyperlink>
      <w:r>
        <w:t xml:space="preserve">.</w:t>
      </w:r>
    </w:p>
    <w:bookmarkEnd w:id="94"/>
    <w:bookmarkStart w:id="95" w:name="ref-quinlan2010bedtools"/>
    <w:p>
      <w:pPr>
        <w:pStyle w:val="Bibliography"/>
      </w:pPr>
      <w:r>
        <w:t xml:space="preserve">Quinlan, Aaron R, and Ira M Hall. 2010.</w:t>
      </w:r>
      <w:r>
        <w:t xml:space="preserve"> </w:t>
      </w:r>
      <w:r>
        <w:t xml:space="preserve">“BEDTools: A Flexible Suite of Utilities for Comparing Genomic Features.”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(6): 841–42.</w:t>
      </w:r>
    </w:p>
    <w:bookmarkEnd w:id="95"/>
    <w:bookmarkStart w:id="97" w:name="ref-R"/>
    <w:p>
      <w:pPr>
        <w:pStyle w:val="Bibliography"/>
      </w:pPr>
      <w:r>
        <w:t xml:space="preserve">R Core Team. 2024.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96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97"/>
    <w:bookmarkStart w:id="99" w:name="ref-rautiainen2020"/>
    <w:p>
      <w:pPr>
        <w:pStyle w:val="Bibliography"/>
      </w:pPr>
      <w:r>
        <w:t xml:space="preserve">Rautiainen, Mikko, and Tobias Marschall. 2020.</w:t>
      </w:r>
      <w:r>
        <w:t xml:space="preserve"> </w:t>
      </w:r>
      <w:r>
        <w:t xml:space="preserve">“GraphAligner: Rapid and Versatile Sequence-to-Graph Alignment.”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21 (1).</w:t>
      </w:r>
      <w:r>
        <w:t xml:space="preserve"> </w:t>
      </w:r>
      <w:hyperlink r:id="rId98">
        <w:r>
          <w:rPr>
            <w:rStyle w:val="Hyperlink"/>
          </w:rPr>
          <w:t xml:space="preserve">https://doi.org/10.1186/s13059-020-02157-2</w:t>
        </w:r>
      </w:hyperlink>
      <w:r>
        <w:t xml:space="preserve">.</w:t>
      </w:r>
    </w:p>
    <w:bookmarkEnd w:id="99"/>
    <w:bookmarkStart w:id="100" w:name="ref-rendon2021adaptive"/>
    <w:p>
      <w:pPr>
        <w:pStyle w:val="Bibliography"/>
      </w:pPr>
      <w:r>
        <w:t xml:space="preserve">Rendón-Anaya, Martha, Jonathan Wilson, Sæmundur Sveinsson, Aleksey Fedorkov, Joan Cottrell, Mark ES Bailey, Dainis Ruņǵis, et al. 2021.</w:t>
      </w:r>
      <w:r>
        <w:t xml:space="preserve"> </w:t>
      </w:r>
      <w:r>
        <w:t xml:space="preserve">“Adaptive Introgression Facilitates Adaptation to High Latitudes in European Aspen (Populus Tremula l.).”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38 (11): 5034–50.</w:t>
      </w:r>
    </w:p>
    <w:bookmarkEnd w:id="100"/>
    <w:bookmarkStart w:id="101" w:name="ref-secomandi2025pangenome"/>
    <w:p>
      <w:pPr>
        <w:pStyle w:val="Bibliography"/>
      </w:pPr>
      <w:r>
        <w:t xml:space="preserve">Secomandi, Simona, Guido Roberto Gallo, Riccardo Rossi, Carlos Rodrı́guez Fernandes, Erich D Jarvis, Andrea Bonisoli-Alquati, Luca Gianfranceschi, and Giulio Formenti. 2025.</w:t>
      </w:r>
      <w:r>
        <w:t xml:space="preserve"> </w:t>
      </w:r>
      <w:r>
        <w:t xml:space="preserve">“Pangenome Graphs and Their Applications in Biodiversity Genomics.”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, 1–14.</w:t>
      </w:r>
    </w:p>
    <w:bookmarkEnd w:id="101"/>
    <w:bookmarkStart w:id="102" w:name="ref-simao2015busco"/>
    <w:p>
      <w:pPr>
        <w:pStyle w:val="Bibliography"/>
      </w:pPr>
      <w:r>
        <w:t xml:space="preserve">Simão, Felipe A, Robert M Waterhouse, Panagiotis Ioannidis, Evgenia V Kriventseva, and Evgeny M Zdobnov. 2015.</w:t>
      </w:r>
      <w:r>
        <w:t xml:space="preserve"> </w:t>
      </w:r>
      <w:r>
        <w:t xml:space="preserve">“BUSCO: Assessing Genome Assembly and Annotation Completeness with Single-Copy Orthologs.”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31 (19): 3210–12.</w:t>
      </w:r>
    </w:p>
    <w:bookmarkEnd w:id="102"/>
    <w:bookmarkStart w:id="104" w:name="ref-sirén2021"/>
    <w:p>
      <w:pPr>
        <w:pStyle w:val="Bibliography"/>
      </w:pPr>
      <w:r>
        <w:t xml:space="preserve">Sirén, Jouni, Jean Monlong, Xian Chang, Adam M. Novak, Jordan M. Eizenga, Charles Markello, Jonas A. Sibbesen, et al. 2021.</w:t>
      </w:r>
      <w:r>
        <w:t xml:space="preserve"> </w:t>
      </w:r>
      <w:r>
        <w:t xml:space="preserve">“Pangenomics Enables Genotyping of Known Structural Variants in 5202 Diverse Genomes.”</w:t>
      </w:r>
      <w:r>
        <w:t xml:space="preserve"> </w:t>
      </w:r>
      <w:r>
        <w:rPr>
          <w:i/>
          <w:iCs/>
        </w:rPr>
        <w:t xml:space="preserve">Science</w:t>
      </w:r>
      <w:r>
        <w:t xml:space="preserve"> </w:t>
      </w:r>
      <w:r>
        <w:t xml:space="preserve">374 (6574).</w:t>
      </w:r>
      <w:r>
        <w:t xml:space="preserve"> </w:t>
      </w:r>
      <w:hyperlink r:id="rId103">
        <w:r>
          <w:rPr>
            <w:rStyle w:val="Hyperlink"/>
          </w:rPr>
          <w:t xml:space="preserve">https://doi.org/10.1126/science.abg8871</w:t>
        </w:r>
      </w:hyperlink>
      <w:r>
        <w:t xml:space="preserve">.</w:t>
      </w:r>
    </w:p>
    <w:bookmarkEnd w:id="104"/>
    <w:bookmarkStart w:id="105" w:name="ref-songsomboon2021genomic"/>
    <w:p>
      <w:pPr>
        <w:pStyle w:val="Bibliography"/>
      </w:pPr>
      <w:r>
        <w:t xml:space="preserve">Songsomboon, Kittikun, Zachary Brenton, James Heuser, Stephen Kresovich, Nadia Shakoor, Todd Mockler, and Elizabeth A Cooper. 2021.</w:t>
      </w:r>
      <w:r>
        <w:t xml:space="preserve"> </w:t>
      </w:r>
      <w:r>
        <w:t xml:space="preserve">“Genomic Patterns of Structural Variation Among Diverse Genotypes of Sorghum Bicolor and a Potential Role for Deletions in Local Adaptation.”</w:t>
      </w:r>
      <w:r>
        <w:t xml:space="preserve"> </w:t>
      </w:r>
      <w:r>
        <w:rPr>
          <w:i/>
          <w:iCs/>
        </w:rPr>
        <w:t xml:space="preserve">G3</w:t>
      </w:r>
      <w:r>
        <w:t xml:space="preserve"> </w:t>
      </w:r>
      <w:r>
        <w:t xml:space="preserve">11 (7): jkab154.</w:t>
      </w:r>
    </w:p>
    <w:bookmarkEnd w:id="105"/>
    <w:bookmarkStart w:id="106" w:name="ref-suarez2018adaptive"/>
    <w:p>
      <w:pPr>
        <w:pStyle w:val="Bibliography"/>
      </w:pPr>
      <w:r>
        <w:t xml:space="preserve">Suarez-Gonzalez, Adriana, Christian Lexer, and Quentin CB Cronk. 2018.</w:t>
      </w:r>
      <w:r>
        <w:t xml:space="preserve"> </w:t>
      </w:r>
      <w:r>
        <w:t xml:space="preserve">“Adaptive Introgression: A Plant Perspective.”</w:t>
      </w:r>
      <w:r>
        <w:t xml:space="preserve"> </w:t>
      </w:r>
      <w:r>
        <w:rPr>
          <w:i/>
          <w:iCs/>
        </w:rPr>
        <w:t xml:space="preserve">Biology Letters</w:t>
      </w:r>
      <w:r>
        <w:t xml:space="preserve"> </w:t>
      </w:r>
      <w:r>
        <w:t xml:space="preserve">14 (3): 20170688.</w:t>
      </w:r>
    </w:p>
    <w:bookmarkEnd w:id="106"/>
    <w:bookmarkStart w:id="107" w:name="ref-sundell2015plant"/>
    <w:p>
      <w:pPr>
        <w:pStyle w:val="Bibliography"/>
      </w:pPr>
      <w:r>
        <w:t xml:space="preserve">Sundell, David, Chanaka Mannapperuma, Sergiu Netotea, Nicolas Delhomme, Yao-Cheng Lin, Andreas Sjodin, Yves Van de Peer, Stefan Jansson, Torgeir R Hvidsten, and Nathaniel R Street. 2015.</w:t>
      </w:r>
      <w:r>
        <w:t xml:space="preserve"> </w:t>
      </w:r>
      <w:r>
        <w:t xml:space="preserve">“The Plant Genome Integrative Explorer Resource: PlantGenIE. Org.”</w:t>
      </w:r>
    </w:p>
    <w:bookmarkEnd w:id="107"/>
    <w:bookmarkStart w:id="108" w:name="ref-xia2023structural"/>
    <w:p>
      <w:pPr>
        <w:pStyle w:val="Bibliography"/>
      </w:pPr>
      <w:r>
        <w:t xml:space="preserve">Xia, Xiaoting, Fengwei Zhang, Shuang Li, Xiaoyu Luo, Lixin Peng, Zheng Dong, Hubert Pausch, et al. 2023.</w:t>
      </w:r>
      <w:r>
        <w:t xml:space="preserve"> </w:t>
      </w:r>
      <w:r>
        <w:t xml:space="preserve">“Structural Variation and Introgression from Wild Populations in East Asian Cattle Genomes Confer Adaptation to Local Environment.”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24 (1): 211.</w:t>
      </w:r>
    </w:p>
    <w:bookmarkEnd w:id="108"/>
    <w:bookmarkStart w:id="109" w:name="ref-zhang2021important"/>
    <w:p>
      <w:pPr>
        <w:pStyle w:val="Bibliography"/>
      </w:pPr>
      <w:r>
        <w:t xml:space="preserve">Zhang, Linyi, Radka Reifová, Zuzana Halenková, and Zachariah Gompert. 2021.</w:t>
      </w:r>
      <w:r>
        <w:t xml:space="preserve"> </w:t>
      </w:r>
      <w:r>
        <w:t xml:space="preserve">“How Important Are Structural Variants for Speciation?”</w:t>
      </w:r>
      <w:r>
        <w:t xml:space="preserve"> </w:t>
      </w:r>
      <w:r>
        <w:rPr>
          <w:i/>
          <w:iCs/>
        </w:rPr>
        <w:t xml:space="preserve">Genes</w:t>
      </w:r>
      <w:r>
        <w:t xml:space="preserve"> </w:t>
      </w:r>
      <w:r>
        <w:t xml:space="preserve">12 (7): 1084.</w:t>
      </w:r>
    </w:p>
    <w:bookmarkEnd w:id="109"/>
    <w:bookmarkStart w:id="110" w:name="ref-zhang2021pan"/>
    <w:p>
      <w:pPr>
        <w:pStyle w:val="Bibliography"/>
      </w:pPr>
      <w:r>
        <w:t xml:space="preserve">Zhang, Xiaohui, Tongjin Liu, Jinglei Wang, Peng Wang, Yang Qiu, Wei Zhao, Shuai Pang, et al. 2021.</w:t>
      </w:r>
      <w:r>
        <w:t xml:space="preserve"> </w:t>
      </w:r>
      <w:r>
        <w:t xml:space="preserve">“Pan-Genome of Raphanus Highlights Genetic Variation and Introgression Among Domesticated, Wild, and Weedy Radishes.”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14 (12): 2032–55.</w:t>
      </w:r>
    </w:p>
    <w:bookmarkEnd w:id="110"/>
    <w:bookmarkEnd w:id="111"/>
    <w:bookmarkEnd w:id="112"/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jpg" /><Relationship Type="http://schemas.openxmlformats.org/officeDocument/2006/relationships/image" Id="rId48" Target="media/rId48.jpg" /><Relationship Type="http://schemas.openxmlformats.org/officeDocument/2006/relationships/image" Id="rId64" Target="media/rId64.jpg" /><Relationship Type="http://schemas.openxmlformats.org/officeDocument/2006/relationships/image" Id="rId44" Target="media/rId44.jpg" /><Relationship Type="http://schemas.openxmlformats.org/officeDocument/2006/relationships/image" Id="rId40" Target="media/rId40.jpg" /><Relationship Type="http://schemas.openxmlformats.org/officeDocument/2006/relationships/image" Id="rId52" Target="media/rId52.jpg" /><Relationship Type="http://schemas.openxmlformats.org/officeDocument/2006/relationships/image" Id="rId56" Target="media/rId56.jpg" /><Relationship Type="http://schemas.openxmlformats.org/officeDocument/2006/relationships/image" Id="rId60" Target="media/rId60.jpg" /><Relationship Type="http://schemas.openxmlformats.org/officeDocument/2006/relationships/image" Id="rId31" Target="media/rId31.jpg" /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Adaptive Introgression Shapes the Pan-genome of Populus Hybrid Zones</dc:title>
  <dc:creator>Baxter Worthing</dc:creator>
  <cp:keywords/>
  <dcterms:created xsi:type="dcterms:W3CDTF">2025-03-19T22:34:16Z</dcterms:created>
  <dcterms:modified xsi:type="dcterms:W3CDTF">2025-03-19T22:34:16Z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Poplar trees…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>references.bib</vt:lpwstr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lear-hidden-classes">
    <vt:lpwstr>none</vt:lpwstr>
  </property>
  <property fmtid="{D5CDD505-2E9C-101B-9397-08002B2CF9AE}" pid="10" name="editor">
    <vt:lpwstr/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lightbox">
    <vt:lpwstr>auto</vt:lpwstr>
  </property>
  <property fmtid="{D5CDD505-2E9C-101B-9397-08002B2CF9AE}" pid="17" name="manuscript">
    <vt:lpwstr/>
  </property>
  <property fmtid="{D5CDD505-2E9C-101B-9397-08002B2CF9AE}" pid="18" name="notebook-preview-options">
    <vt:lpwstr/>
  </property>
  <property fmtid="{D5CDD505-2E9C-101B-9397-08002B2CF9AE}" pid="19" name="quarto-internal">
    <vt:lpwstr/>
  </property>
  <property fmtid="{D5CDD505-2E9C-101B-9397-08002B2CF9AE}" pid="20" name="remove-hidden">
    <vt:lpwstr>all</vt:lpwstr>
  </property>
  <property fmtid="{D5CDD505-2E9C-101B-9397-08002B2CF9AE}" pid="21" name="template-partials">
    <vt:lpwstr/>
  </property>
  <property fmtid="{D5CDD505-2E9C-101B-9397-08002B2CF9AE}" pid="22" name="theme">
    <vt:lpwstr>cosmo</vt:lpwstr>
  </property>
  <property fmtid="{D5CDD505-2E9C-101B-9397-08002B2CF9AE}" pid="23" name="title-block-style">
    <vt:lpwstr>manuscript</vt:lpwstr>
  </property>
  <property fmtid="{D5CDD505-2E9C-101B-9397-08002B2CF9AE}" pid="24" name="toc-title">
    <vt:lpwstr>Table of contents</vt:lpwstr>
  </property>
  <property fmtid="{D5CDD505-2E9C-101B-9397-08002B2CF9AE}" pid="25" name="unroll-markdown-cells">
    <vt:lpwstr>True</vt:lpwstr>
  </property>
</Properties>
</file>